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64B" w:rsidRDefault="009A316A" w:rsidP="001E364B">
      <w:r>
        <w:t xml:space="preserve"> </w:t>
      </w:r>
      <w:r w:rsidR="001E364B">
        <w:t>Recebi um mail a reportar uma diferença do cálculo entre o simulador da AT e o meu.</w:t>
      </w:r>
      <w:bookmarkStart w:id="0" w:name="_GoBack"/>
      <w:bookmarkEnd w:id="0"/>
    </w:p>
    <w:p w:rsidR="00800CB5" w:rsidRDefault="00F45B35">
      <w:r>
        <w:t>“</w:t>
      </w:r>
      <w:r w:rsidR="006C4F6C">
        <w:t>Excesso limite do quociente familiar</w:t>
      </w:r>
      <w:r>
        <w:t>”, o que v</w:t>
      </w:r>
      <w:r w:rsidR="004923ED">
        <w:t>ê</w:t>
      </w:r>
      <w:r>
        <w:t xml:space="preserve">m a ser </w:t>
      </w:r>
      <w:r w:rsidR="004923ED">
        <w:t>estes 1.008,51 €</w:t>
      </w:r>
      <w:r>
        <w:t>?</w:t>
      </w:r>
      <w:r w:rsidR="004923ED">
        <w:t xml:space="preserve"> </w:t>
      </w:r>
    </w:p>
    <w:p w:rsidR="00F45B35" w:rsidRDefault="00470D54">
      <w:r>
        <w:t>Neste caso são 2 dependentes</w:t>
      </w:r>
      <w:r w:rsidR="00945154">
        <w:t>, e entrega em conjunto</w:t>
      </w:r>
      <w:r>
        <w:t>.</w:t>
      </w:r>
    </w:p>
    <w:p w:rsidR="00F45B35" w:rsidRDefault="00F45B35">
      <w:r w:rsidRPr="00F45B35">
        <w:rPr>
          <w:noProof/>
          <w:lang w:eastAsia="pt-PT"/>
        </w:rPr>
        <w:drawing>
          <wp:inline distT="0" distB="0" distL="0" distR="0">
            <wp:extent cx="9474200" cy="3079750"/>
            <wp:effectExtent l="0" t="0" r="0" b="6350"/>
            <wp:docPr id="2" name="Imagem 2" descr="C:\Users\Utilizador\Desktop\Apontamentos sobre  IRS\2015 IRS\IRS portal financa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dor\Desktop\Apontamentos sobre  IRS\2015 IRS\IRS portal financas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4" t="10035" r="2200" b="41669"/>
                    <a:stretch/>
                  </pic:blipFill>
                  <pic:spPr bwMode="auto">
                    <a:xfrm>
                      <a:off x="0" y="0"/>
                      <a:ext cx="9602965" cy="312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42A" w:rsidRDefault="005F542A"/>
    <w:p w:rsidR="00F45B35" w:rsidRPr="00F45B35" w:rsidRDefault="00F45B35" w:rsidP="00F45B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t>Artigo 69.º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Quociente familiar</w:t>
      </w:r>
    </w:p>
    <w:p w:rsidR="00F45B35" w:rsidRPr="00F45B35" w:rsidRDefault="00F45B35" w:rsidP="00F45B3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t>1 - Tratando-se de sujeitos passivos casados e não separados judicialmente de pessoas e bens ou unidos de facto, as taxas fixadas no artigo 68.º aplicáveis são: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>a) Nos casos em que haja opção pela tributação conjunta, as correspondentes ao rendimento coletável dividido pela soma de dois com o produto de 0,3 pelo número de dependentes que integram o agregado familiar e de ascendentes;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b) Nos casos em que não seja exercida a opção referida na alínea anterior, as correspondentes ao rendimento coletável dividido pela soma de um com o produto de 0,15 pelo número de dependentes que integram o agregado familiar e de ascendentes.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2 - Tratando-se de sujeitos passivos não mencionados no número anterior, as taxas fixadas no artigo 68.º aplicáveis são as correspondentes ao rendimento coletável dividido pela soma de um com o produto de 0,3 pelo número de dependentes que integram o agregado familiar e de ascendentes.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3 - O resultado da aplicação das taxas fixadas no artigo 68.º nos termos dos números anteriores é multiplicado pelos divisores neles fixados para se obter a coleta do IRS.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4 - Para efeitos de cálculo dos divisores previstos nos números anteriores: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a) Considera-se ascendente aquele que viva efetivamente em comunhão de habitação com o sujeito passivo, desde que aquele não aufira rendimento superior à pensão mínima do regime geral;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b) Não relevam os dependentes em relação aos quais os sujeitos passivos aproveitem da dedução prevista no artigo 83.º-A.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highlight w:val="yellow"/>
          <w:lang w:eastAsia="pt-PT"/>
        </w:rPr>
        <w:t>5 - Da aplicação da parcela do divisor correspondente ao dependente ou ascendente, previsto no artigo anterior e no presente artigo, não pode resultar uma redução da coleta superior a: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a) Quando haja tributação separada:</w:t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  <w:t>    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i) (euro) 300 nos agregados com um dependente ou ascendente;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</w:t>
      </w:r>
      <w:proofErr w:type="spellStart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ii</w:t>
      </w:r>
      <w:proofErr w:type="spellEnd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) (euro) 625 nos agregados com dois dependentes ou ascendentes; e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</w:t>
      </w:r>
      <w:proofErr w:type="spellStart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iii</w:t>
      </w:r>
      <w:proofErr w:type="spellEnd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) (euro) 1 000 nos agregados com três ou mais dependentes ou ascendentes;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lastRenderedPageBreak/>
        <w:br/>
        <w:t>b) Nas famílias monoparentais: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i) (euro) 350 nos agregados com um dependente ou ascendente;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</w:t>
      </w:r>
      <w:proofErr w:type="spellStart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ii</w:t>
      </w:r>
      <w:proofErr w:type="spellEnd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) (euro) 750 nos agregados com dois dependentes ou ascendentes; e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</w:t>
      </w:r>
      <w:proofErr w:type="spellStart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iii</w:t>
      </w:r>
      <w:proofErr w:type="spellEnd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) (euro) 1 200 nos agregados com três ou mais dependentes ou ascendentes;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t-PT"/>
        </w:rPr>
        <w:t>c) Quando haja opção pela tributação conjunta: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i) (euro) 600 nos agregados com um dependente ou ascendente;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</w:t>
      </w:r>
      <w:proofErr w:type="spellStart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t-PT"/>
        </w:rPr>
        <w:t>ii</w:t>
      </w:r>
      <w:proofErr w:type="spellEnd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t-PT"/>
        </w:rPr>
        <w:t>) (euro) 1 250 nos agregados com dois dependentes ou ascendentes;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 e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  <w:t>    </w:t>
      </w:r>
      <w:proofErr w:type="spellStart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iii</w:t>
      </w:r>
      <w:proofErr w:type="spellEnd"/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) (euro) 2 000 nos agregados com três ou mais dependentes ou ascendentes.</w:t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sz w:val="24"/>
          <w:szCs w:val="24"/>
          <w:lang w:eastAsia="pt-PT"/>
        </w:rPr>
        <w:br/>
      </w:r>
      <w:r w:rsidRPr="00F45B35">
        <w:rPr>
          <w:rFonts w:ascii="Times New Roman" w:eastAsia="Times New Roman" w:hAnsi="Times New Roman" w:cs="Times New Roman"/>
          <w:b/>
          <w:bCs/>
          <w:i/>
          <w:iCs/>
          <w:color w:val="808080"/>
          <w:sz w:val="15"/>
          <w:szCs w:val="15"/>
          <w:lang w:eastAsia="pt-PT"/>
        </w:rPr>
        <w:t>Nota</w:t>
      </w:r>
      <w:r w:rsidRPr="00F45B35">
        <w:rPr>
          <w:rFonts w:ascii="Times New Roman" w:eastAsia="Times New Roman" w:hAnsi="Times New Roman" w:cs="Times New Roman"/>
          <w:i/>
          <w:iCs/>
          <w:color w:val="808080"/>
          <w:sz w:val="15"/>
          <w:szCs w:val="15"/>
          <w:lang w:eastAsia="pt-PT"/>
        </w:rPr>
        <w:t>: </w:t>
      </w:r>
      <w:hyperlink r:id="rId5" w:history="1">
        <w:r w:rsidRPr="00F45B35">
          <w:rPr>
            <w:rFonts w:ascii="Times New Roman" w:eastAsia="Times New Roman" w:hAnsi="Times New Roman" w:cs="Times New Roman"/>
            <w:i/>
            <w:iCs/>
            <w:color w:val="0000FF"/>
            <w:sz w:val="15"/>
            <w:szCs w:val="15"/>
            <w:u w:val="single"/>
            <w:lang w:eastAsia="pt-PT"/>
          </w:rPr>
          <w:t>consulte aqui</w:t>
        </w:r>
      </w:hyperlink>
      <w:r w:rsidRPr="00F45B35">
        <w:rPr>
          <w:rFonts w:ascii="Times New Roman" w:eastAsia="Times New Roman" w:hAnsi="Times New Roman" w:cs="Times New Roman"/>
          <w:i/>
          <w:iCs/>
          <w:color w:val="808080"/>
          <w:sz w:val="15"/>
          <w:szCs w:val="15"/>
          <w:lang w:eastAsia="pt-PT"/>
        </w:rPr>
        <w:t xml:space="preserve"> o mesmo artigo na redação anterior à republicação do CIRS pela Lei n.º 82-E/2014, de 31 de dezembro.</w:t>
      </w:r>
    </w:p>
    <w:p w:rsidR="00F45B35" w:rsidRDefault="00F45B35"/>
    <w:sectPr w:rsidR="00F45B35" w:rsidSect="00F45B3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6C"/>
    <w:rsid w:val="001E364B"/>
    <w:rsid w:val="00201F4E"/>
    <w:rsid w:val="004143E3"/>
    <w:rsid w:val="00470D54"/>
    <w:rsid w:val="004923ED"/>
    <w:rsid w:val="0058684D"/>
    <w:rsid w:val="005F542A"/>
    <w:rsid w:val="006C4F6C"/>
    <w:rsid w:val="007B7F05"/>
    <w:rsid w:val="00800CB5"/>
    <w:rsid w:val="00945154"/>
    <w:rsid w:val="009A316A"/>
    <w:rsid w:val="00F4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785D3"/>
  <w15:chartTrackingRefBased/>
  <w15:docId w15:val="{2980E86D-977D-4FFD-AE26-6990A77E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tulos">
    <w:name w:val="titulos"/>
    <w:basedOn w:val="Tipodeletrapredefinidodopargrafo"/>
    <w:rsid w:val="00F45B35"/>
  </w:style>
  <w:style w:type="paragraph" w:styleId="NormalWeb">
    <w:name w:val="Normal (Web)"/>
    <w:basedOn w:val="Normal"/>
    <w:uiPriority w:val="99"/>
    <w:semiHidden/>
    <w:unhideWhenUsed/>
    <w:rsid w:val="00F45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F45B35"/>
    <w:rPr>
      <w:i/>
      <w:iCs/>
    </w:rPr>
  </w:style>
  <w:style w:type="character" w:styleId="Forte">
    <w:name w:val="Strong"/>
    <w:basedOn w:val="Tipodeletrapredefinidodopargrafo"/>
    <w:uiPriority w:val="22"/>
    <w:qFormat/>
    <w:rsid w:val="00F45B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2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fo.portaldasfinancas.gov.pt/pt/informacao_fiscal/codigos_tributarios/irs/irs73.ht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11</cp:revision>
  <dcterms:created xsi:type="dcterms:W3CDTF">2016-04-07T22:21:00Z</dcterms:created>
  <dcterms:modified xsi:type="dcterms:W3CDTF">2016-04-16T20:41:00Z</dcterms:modified>
</cp:coreProperties>
</file>