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F22B60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</w:rPr>
      </w:pPr>
      <w:r>
        <w:rPr>
          <w:noProof/>
          <w:lang w:eastAsia="pt-PT"/>
        </w:rPr>
        <w:drawing>
          <wp:inline distT="0" distB="0" distL="0" distR="0">
            <wp:extent cx="4238625" cy="28003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t>Operação Especial 04</w:t>
      </w:r>
    </w:p>
    <w:p w:rsidR="00E90C5B" w:rsidRDefault="00E90C5B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Penhora vencimento</w:t>
      </w: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86141A" w:rsidRDefault="0086141A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 w:rsidP="007409B5">
      <w:pPr>
        <w:tabs>
          <w:tab w:val="left" w:pos="1080"/>
        </w:tabs>
        <w:spacing w:line="360" w:lineRule="auto"/>
        <w:jc w:val="both"/>
        <w:rPr>
          <w:rFonts w:ascii="Arial" w:hAnsi="Arial" w:cs="Arial"/>
          <w:b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Exmo. Sr.,</w:t>
      </w:r>
    </w:p>
    <w:p w:rsidR="00F22B60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Sol</w:t>
      </w:r>
      <w:r w:rsidR="00F22B60">
        <w:rPr>
          <w:rFonts w:ascii="Arial" w:hAnsi="Arial" w:cs="Arial"/>
          <w:sz w:val="22"/>
          <w:szCs w:val="22"/>
        </w:rPr>
        <w:t>icitador</w:t>
      </w:r>
    </w:p>
    <w:p w:rsidR="00E90C5B" w:rsidRDefault="00F22B60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90C5B">
        <w:rPr>
          <w:rFonts w:ascii="Arial" w:hAnsi="Arial" w:cs="Arial"/>
          <w:sz w:val="22"/>
          <w:szCs w:val="22"/>
        </w:rPr>
        <w:t xml:space="preserve"> Anastácio Fagundes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Rua Tomás Ribeiro, 8, 3º Esq.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1050 -229 Lisboa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Aveiro, 5 de Maio de 2009.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N.º do Processo: </w:t>
      </w:r>
      <w:r>
        <w:rPr>
          <w:rFonts w:ascii="Arial" w:hAnsi="Arial" w:cs="Arial"/>
          <w:sz w:val="22"/>
          <w:szCs w:val="22"/>
        </w:rPr>
        <w:t>99999/09.3SCP.SLB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âmbito do processo da penhora de vencimento ao </w:t>
      </w:r>
      <w:r w:rsidR="005E42BB">
        <w:rPr>
          <w:rFonts w:ascii="Arial" w:hAnsi="Arial" w:cs="Arial"/>
          <w:sz w:val="22"/>
          <w:szCs w:val="22"/>
        </w:rPr>
        <w:t>colaborador</w:t>
      </w:r>
      <w:r w:rsidR="001B67DD">
        <w:rPr>
          <w:rFonts w:ascii="Arial" w:hAnsi="Arial" w:cs="Arial"/>
          <w:sz w:val="22"/>
          <w:szCs w:val="22"/>
        </w:rPr>
        <w:t xml:space="preserve"> da nossa empresa, </w:t>
      </w:r>
      <w:r>
        <w:rPr>
          <w:rFonts w:ascii="Arial" w:hAnsi="Arial" w:cs="Arial"/>
          <w:sz w:val="22"/>
          <w:szCs w:val="22"/>
        </w:rPr>
        <w:t>Pedro Aguiar, vimos pela presente informar V.</w:t>
      </w:r>
      <w:r w:rsidR="00047FE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Exa</w:t>
      </w:r>
      <w:r w:rsidR="00047FE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, que vamos proceder </w:t>
      </w:r>
      <w:r w:rsidR="005E42BB">
        <w:rPr>
          <w:rFonts w:ascii="Arial" w:hAnsi="Arial" w:cs="Arial"/>
          <w:sz w:val="22"/>
          <w:szCs w:val="22"/>
        </w:rPr>
        <w:t>à penhora</w:t>
      </w:r>
      <w:r>
        <w:rPr>
          <w:rFonts w:ascii="Arial" w:hAnsi="Arial" w:cs="Arial"/>
          <w:sz w:val="22"/>
          <w:szCs w:val="22"/>
        </w:rPr>
        <w:t xml:space="preserve"> de </w:t>
      </w:r>
      <w:r w:rsidR="005E42BB">
        <w:rPr>
          <w:rFonts w:ascii="Arial" w:hAnsi="Arial" w:cs="Arial"/>
          <w:sz w:val="22"/>
          <w:szCs w:val="22"/>
        </w:rPr>
        <w:t>um terço</w:t>
      </w:r>
      <w:r>
        <w:rPr>
          <w:rFonts w:ascii="Arial" w:hAnsi="Arial" w:cs="Arial"/>
          <w:sz w:val="22"/>
          <w:szCs w:val="22"/>
        </w:rPr>
        <w:t xml:space="preserve"> do </w:t>
      </w:r>
      <w:r w:rsidR="005E42BB">
        <w:rPr>
          <w:rFonts w:ascii="Arial" w:hAnsi="Arial" w:cs="Arial"/>
          <w:sz w:val="22"/>
          <w:szCs w:val="22"/>
        </w:rPr>
        <w:t>vencimento mensal</w:t>
      </w:r>
      <w:r>
        <w:rPr>
          <w:rFonts w:ascii="Arial" w:hAnsi="Arial" w:cs="Arial"/>
          <w:sz w:val="22"/>
          <w:szCs w:val="22"/>
        </w:rPr>
        <w:t xml:space="preserve">, a favor do exequente </w:t>
      </w:r>
      <w:proofErr w:type="spellStart"/>
      <w:r>
        <w:rPr>
          <w:rFonts w:ascii="Arial" w:hAnsi="Arial" w:cs="Arial"/>
          <w:i/>
          <w:sz w:val="22"/>
          <w:szCs w:val="22"/>
        </w:rPr>
        <w:t>Unicre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– Instituição Financeira de Crédito, S.A</w:t>
      </w:r>
      <w:r w:rsidR="005E42BB">
        <w:rPr>
          <w:rFonts w:ascii="Arial" w:hAnsi="Arial" w:cs="Arial"/>
          <w:i/>
          <w:sz w:val="22"/>
          <w:szCs w:val="22"/>
        </w:rPr>
        <w:t>, ao abrigo do art.º861, do Código Processo Civil</w:t>
      </w:r>
      <w:r>
        <w:rPr>
          <w:rFonts w:ascii="Arial" w:hAnsi="Arial" w:cs="Arial"/>
          <w:i/>
          <w:sz w:val="22"/>
          <w:szCs w:val="22"/>
        </w:rPr>
        <w:t>.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Mais se informa que segue em anexo o último recibo de vencimento do trabalhador acima referido, conforme solicitado por V.</w:t>
      </w:r>
      <w:r w:rsidR="00047FE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Exa.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firstLine="1077"/>
        <w:jc w:val="both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Sem outro assunto de momento, subscrevemo-nos,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V.</w:t>
      </w:r>
      <w:r w:rsidR="00BE49C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Exa</w:t>
      </w:r>
      <w:r w:rsidR="00BE49C3">
        <w:rPr>
          <w:rFonts w:ascii="Arial" w:hAnsi="Arial" w:cs="Arial"/>
          <w:sz w:val="22"/>
          <w:szCs w:val="22"/>
        </w:rPr>
        <w:t>.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b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 Gerência,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right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right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right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right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1B67DD" w:rsidRDefault="001B67DD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7409B5" w:rsidRDefault="007409B5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Aveiro, 5 de Maio de 2009</w:t>
      </w:r>
    </w:p>
    <w:p w:rsidR="005E42BB" w:rsidRDefault="005E42B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Assunto:</w:t>
      </w:r>
      <w:r>
        <w:rPr>
          <w:rFonts w:ascii="Arial" w:hAnsi="Arial" w:cs="Arial"/>
          <w:sz w:val="22"/>
          <w:szCs w:val="22"/>
        </w:rPr>
        <w:t xml:space="preserve"> Penhora de Vencimento</w:t>
      </w: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âmbito do processo 99999/09.3SCP.SLB instaurado ao </w:t>
      </w:r>
      <w:r w:rsidR="005E42BB">
        <w:rPr>
          <w:rFonts w:ascii="Arial" w:hAnsi="Arial" w:cs="Arial"/>
          <w:sz w:val="22"/>
          <w:szCs w:val="22"/>
        </w:rPr>
        <w:t>colaborado</w:t>
      </w:r>
      <w:r>
        <w:rPr>
          <w:rFonts w:ascii="Arial" w:hAnsi="Arial" w:cs="Arial"/>
          <w:sz w:val="22"/>
          <w:szCs w:val="22"/>
        </w:rPr>
        <w:t>r da nossa empresa Pedro Aguiar, com o NIF 999.999.999 e Bilhete de Identidade nº 122332465, iremos proceder ao desconto de 1/3 do valor auferido mensalmente por este, até perfazer o total de 4.560,00€, dando assim cumprimento ao disposto no artigo 824º do Código do Processo Civil.</w:t>
      </w:r>
    </w:p>
    <w:p w:rsidR="001B67DD" w:rsidRDefault="00E90C5B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Sendo que o </w:t>
      </w:r>
      <w:r w:rsidR="005E42BB">
        <w:rPr>
          <w:rFonts w:ascii="Arial" w:hAnsi="Arial" w:cs="Arial"/>
          <w:sz w:val="22"/>
          <w:szCs w:val="22"/>
        </w:rPr>
        <w:t>colaborador</w:t>
      </w:r>
      <w:r>
        <w:rPr>
          <w:rFonts w:ascii="Arial" w:hAnsi="Arial" w:cs="Arial"/>
          <w:sz w:val="22"/>
          <w:szCs w:val="22"/>
        </w:rPr>
        <w:t xml:space="preserve"> em questão está inserido na categoria de Condutor Manobrador e aufere mensalmente</w:t>
      </w:r>
      <w:r w:rsidR="005E42BB">
        <w:rPr>
          <w:rFonts w:ascii="Arial" w:hAnsi="Arial" w:cs="Arial"/>
          <w:sz w:val="22"/>
          <w:szCs w:val="22"/>
        </w:rPr>
        <w:t xml:space="preserve"> a quantia de</w:t>
      </w:r>
      <w:r w:rsidR="00425387">
        <w:rPr>
          <w:rFonts w:ascii="Arial" w:hAnsi="Arial" w:cs="Arial"/>
          <w:sz w:val="22"/>
          <w:szCs w:val="22"/>
        </w:rPr>
        <w:t xml:space="preserve"> 988,00€ de remuneração bruta. 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Aqui coloca-se a questão </w:t>
      </w:r>
      <w:r w:rsidRPr="00425387">
        <w:rPr>
          <w:rFonts w:ascii="Arial" w:hAnsi="Arial" w:cs="Arial"/>
          <w:sz w:val="22"/>
          <w:szCs w:val="22"/>
        </w:rPr>
        <w:t>se a incidência da penhora se deve fazer no salário ilíquido ou no salário líquido, o que passa pela interpretação do art. 824º do CPC.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>Prescreve o nº 1, do art. 9º do C</w:t>
      </w:r>
      <w:r>
        <w:rPr>
          <w:rFonts w:ascii="Arial" w:hAnsi="Arial" w:cs="Arial"/>
          <w:sz w:val="22"/>
          <w:szCs w:val="22"/>
        </w:rPr>
        <w:t>ódigo Civil</w:t>
      </w:r>
      <w:r w:rsidRPr="00425387">
        <w:rPr>
          <w:rFonts w:ascii="Arial" w:hAnsi="Arial" w:cs="Arial"/>
          <w:sz w:val="22"/>
          <w:szCs w:val="22"/>
        </w:rPr>
        <w:t xml:space="preserve"> que à actividade interpretativa não basta o elemento literal das normas e que é essencial a vontade do legislador, captável no quadro do sistema jurídico, das condições históricas da sua formulação e, numa perspectiva actualista, na especificidade do tempo em que são aplicadas.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>No nº 2 estabelece-se, por seu turno, que a determinação da vontade legislativa não pode abstrair da letra da lei, isto é, do significado da sua expressão verbal.</w:t>
      </w:r>
    </w:p>
    <w:p w:rsid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 xml:space="preserve">Finalmente, no nº 3, dispõe-se, por apelo a critérios de objectividade, que o </w:t>
      </w:r>
      <w:r w:rsidR="007409B5">
        <w:rPr>
          <w:rFonts w:ascii="Arial" w:hAnsi="Arial" w:cs="Arial"/>
          <w:sz w:val="22"/>
          <w:szCs w:val="22"/>
        </w:rPr>
        <w:t>i</w:t>
      </w:r>
      <w:r w:rsidR="007409B5" w:rsidRPr="00425387">
        <w:rPr>
          <w:rFonts w:ascii="Arial" w:hAnsi="Arial" w:cs="Arial"/>
          <w:sz w:val="22"/>
          <w:szCs w:val="22"/>
        </w:rPr>
        <w:t>ntérprete</w:t>
      </w:r>
      <w:r w:rsidRPr="00425387">
        <w:rPr>
          <w:rFonts w:ascii="Arial" w:hAnsi="Arial" w:cs="Arial"/>
          <w:sz w:val="22"/>
          <w:szCs w:val="22"/>
        </w:rPr>
        <w:t>, na determinação do sentido prevalente da lei, deve presumir o acerto das soluções consagradas e a expressão verbal adequada</w:t>
      </w:r>
      <w:r>
        <w:rPr>
          <w:rFonts w:ascii="Arial" w:hAnsi="Arial" w:cs="Arial"/>
          <w:sz w:val="22"/>
          <w:szCs w:val="22"/>
        </w:rPr>
        <w:t>.</w:t>
      </w:r>
    </w:p>
    <w:p w:rsidR="001B67DD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 xml:space="preserve"> 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 xml:space="preserve">No fundo, o referido normativo expressa os princípios doutrinários consagrados ao longo do tempo sobre a interpretação das leis, designadamente o </w:t>
      </w:r>
      <w:proofErr w:type="gramStart"/>
      <w:r w:rsidRPr="00425387">
        <w:rPr>
          <w:rFonts w:ascii="Arial" w:hAnsi="Arial" w:cs="Arial"/>
          <w:sz w:val="22"/>
          <w:szCs w:val="22"/>
        </w:rPr>
        <w:t>apelo</w:t>
      </w:r>
      <w:proofErr w:type="gramEnd"/>
      <w:r w:rsidRPr="00425387">
        <w:rPr>
          <w:rFonts w:ascii="Arial" w:hAnsi="Arial" w:cs="Arial"/>
          <w:sz w:val="22"/>
          <w:szCs w:val="22"/>
        </w:rPr>
        <w:t xml:space="preserve"> ao elemento literal, por um lado, e aos de origem lógica </w:t>
      </w:r>
      <w:r w:rsidR="007409B5">
        <w:rPr>
          <w:rFonts w:ascii="Arial" w:hAnsi="Arial" w:cs="Arial"/>
          <w:sz w:val="22"/>
          <w:szCs w:val="22"/>
        </w:rPr>
        <w:t>–</w:t>
      </w:r>
      <w:r w:rsidRPr="00425387">
        <w:rPr>
          <w:rFonts w:ascii="Arial" w:hAnsi="Arial" w:cs="Arial"/>
          <w:sz w:val="22"/>
          <w:szCs w:val="22"/>
        </w:rPr>
        <w:t xml:space="preserve"> </w:t>
      </w:r>
      <w:r w:rsidR="007409B5">
        <w:rPr>
          <w:rFonts w:ascii="Arial" w:hAnsi="Arial" w:cs="Arial"/>
          <w:sz w:val="22"/>
          <w:szCs w:val="22"/>
        </w:rPr>
        <w:t>“</w:t>
      </w:r>
      <w:proofErr w:type="spellStart"/>
      <w:r w:rsidRPr="00425387">
        <w:rPr>
          <w:rFonts w:ascii="Arial" w:hAnsi="Arial" w:cs="Arial"/>
          <w:sz w:val="22"/>
          <w:szCs w:val="22"/>
        </w:rPr>
        <w:t>mens</w:t>
      </w:r>
      <w:proofErr w:type="spellEnd"/>
      <w:r w:rsidRPr="004253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5387">
        <w:rPr>
          <w:rFonts w:ascii="Arial" w:hAnsi="Arial" w:cs="Arial"/>
          <w:sz w:val="22"/>
          <w:szCs w:val="22"/>
        </w:rPr>
        <w:t>legis</w:t>
      </w:r>
      <w:proofErr w:type="spellEnd"/>
      <w:r w:rsidR="007409B5">
        <w:rPr>
          <w:rFonts w:ascii="Arial" w:hAnsi="Arial" w:cs="Arial"/>
          <w:sz w:val="22"/>
          <w:szCs w:val="22"/>
        </w:rPr>
        <w:t>”</w:t>
      </w:r>
      <w:r w:rsidRPr="00425387">
        <w:rPr>
          <w:rFonts w:ascii="Arial" w:hAnsi="Arial" w:cs="Arial"/>
          <w:sz w:val="22"/>
          <w:szCs w:val="22"/>
        </w:rPr>
        <w:t xml:space="preserve"> ou fim da lei, histórico ou sistemático - por outro.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>Interpretar uma lei não é mais do que fixar o seu sentido e o alcance com que ela deve valer, ou seja, determinar o seu sentido e alcance decisivos; o escopo final a que converge todo o processo interpretativo é o de pôr a claro o verdadeiro sentido e alcance da lei</w:t>
      </w:r>
      <w:r>
        <w:rPr>
          <w:rFonts w:ascii="Arial" w:hAnsi="Arial" w:cs="Arial"/>
          <w:sz w:val="22"/>
          <w:szCs w:val="22"/>
        </w:rPr>
        <w:t>.</w:t>
      </w:r>
      <w:r w:rsidRPr="00425387">
        <w:rPr>
          <w:rFonts w:ascii="Arial" w:hAnsi="Arial" w:cs="Arial"/>
          <w:sz w:val="22"/>
          <w:szCs w:val="22"/>
        </w:rPr>
        <w:t xml:space="preserve"> </w:t>
      </w:r>
    </w:p>
    <w:p w:rsid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>Interpretar, em matéria de leis, quer dizer não só descobrir o sentido que está por detrás da expressão, como também, dentro das várias significações que estão cobertas pela expressão, eleger a verdadeira e decisiva</w:t>
      </w:r>
      <w:r>
        <w:rPr>
          <w:rFonts w:ascii="Arial" w:hAnsi="Arial" w:cs="Arial"/>
          <w:sz w:val="22"/>
          <w:szCs w:val="22"/>
        </w:rPr>
        <w:t>.</w:t>
      </w:r>
    </w:p>
    <w:p w:rsidR="00425387" w:rsidRPr="00425387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lastRenderedPageBreak/>
        <w:t xml:space="preserve"> Daí que, perante as regras de interpretação da lei que resultam do art. 9º do Código Civil, a regra não é a de que onde a lei não distingue não pode o intérprete distinguir, mas, ao invés, a de que onde a lei não distingue deve o intérprete distinguir sempre que dela resultem ponderosas razões que o imponham.</w:t>
      </w:r>
    </w:p>
    <w:p w:rsidR="000B5052" w:rsidRDefault="00425387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25387">
        <w:rPr>
          <w:rFonts w:ascii="Arial" w:hAnsi="Arial" w:cs="Arial"/>
          <w:sz w:val="22"/>
          <w:szCs w:val="22"/>
        </w:rPr>
        <w:t xml:space="preserve">Ora, quando o </w:t>
      </w:r>
      <w:r>
        <w:rPr>
          <w:rFonts w:ascii="Arial" w:hAnsi="Arial" w:cs="Arial"/>
          <w:sz w:val="22"/>
          <w:szCs w:val="22"/>
        </w:rPr>
        <w:t>art.º 824º</w:t>
      </w:r>
      <w:r w:rsidRPr="00425387">
        <w:rPr>
          <w:rFonts w:ascii="Arial" w:hAnsi="Arial" w:cs="Arial"/>
          <w:sz w:val="22"/>
          <w:szCs w:val="22"/>
        </w:rPr>
        <w:t xml:space="preserve"> fala em vencimento auferido (nº1, a)) e prestações pagas (nº1 b)), só pode ter em vista a penhora do que efectivamente se recebe, aquilo que concretamente é disponibilizado ao </w:t>
      </w:r>
      <w:r>
        <w:rPr>
          <w:rFonts w:ascii="Arial" w:hAnsi="Arial" w:cs="Arial"/>
          <w:sz w:val="22"/>
          <w:szCs w:val="22"/>
        </w:rPr>
        <w:t>colaborador</w:t>
      </w:r>
      <w:r w:rsidRPr="00425387">
        <w:rPr>
          <w:rFonts w:ascii="Arial" w:hAnsi="Arial" w:cs="Arial"/>
          <w:sz w:val="22"/>
          <w:szCs w:val="22"/>
        </w:rPr>
        <w:t xml:space="preserve">, ou seja, o seu vencimento, salário ou prestação a título de aposentação líquidos, sob pena, por um lado, de se ultrapassar o limite impenhorável de 2/3 do vencimento, por outro, da própria penhora incidir sobre algo que não constitui rendimento, antes encargo do </w:t>
      </w:r>
      <w:r>
        <w:rPr>
          <w:rFonts w:ascii="Arial" w:hAnsi="Arial" w:cs="Arial"/>
          <w:sz w:val="22"/>
          <w:szCs w:val="22"/>
        </w:rPr>
        <w:t>trabalhador</w:t>
      </w:r>
      <w:r w:rsidRPr="00425387">
        <w:rPr>
          <w:rFonts w:ascii="Arial" w:hAnsi="Arial" w:cs="Arial"/>
          <w:sz w:val="22"/>
          <w:szCs w:val="22"/>
        </w:rPr>
        <w:t xml:space="preserve"> - o correspondente aos respectivos descontos salariais</w:t>
      </w:r>
      <w:r w:rsidR="0086141A">
        <w:rPr>
          <w:rFonts w:ascii="Arial" w:hAnsi="Arial" w:cs="Arial"/>
          <w:sz w:val="22"/>
          <w:szCs w:val="22"/>
        </w:rPr>
        <w:t xml:space="preserve"> (segurança social e IRS)</w:t>
      </w:r>
      <w:r w:rsidRPr="00425387">
        <w:rPr>
          <w:rFonts w:ascii="Arial" w:hAnsi="Arial" w:cs="Arial"/>
          <w:sz w:val="22"/>
          <w:szCs w:val="22"/>
        </w:rPr>
        <w:t>, o que, há-de convir-se, não se coaduna com os sobreditos princípios subjacentes à boa interpretação das leis e, nomeadamente, com a regra base de que “ na fixação do sentido e alcance da lei, o intérprete presumirá que o legislador consagrou as soluções mais acertadas e soube exprimir o seu pensamento em termos adequados” (nº 3 do art. 9º do CC).</w:t>
      </w:r>
      <w:r w:rsidR="00E90C5B">
        <w:rPr>
          <w:rFonts w:ascii="Arial" w:hAnsi="Arial" w:cs="Arial"/>
          <w:sz w:val="22"/>
          <w:szCs w:val="22"/>
        </w:rPr>
        <w:t xml:space="preserve"> </w:t>
      </w:r>
    </w:p>
    <w:p w:rsidR="00E90C5B" w:rsidRDefault="000B5052" w:rsidP="007409B5">
      <w:pPr>
        <w:tabs>
          <w:tab w:val="left" w:pos="1080"/>
          <w:tab w:val="left" w:pos="54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Face ao acima exposto </w:t>
      </w:r>
      <w:r w:rsidR="00E90C5B">
        <w:rPr>
          <w:rFonts w:ascii="Arial" w:hAnsi="Arial" w:cs="Arial"/>
          <w:sz w:val="22"/>
          <w:szCs w:val="22"/>
        </w:rPr>
        <w:t>a penhora de 1/3 do seu vencimento</w:t>
      </w:r>
      <w:r>
        <w:rPr>
          <w:rFonts w:ascii="Arial" w:hAnsi="Arial" w:cs="Arial"/>
          <w:sz w:val="22"/>
          <w:szCs w:val="22"/>
        </w:rPr>
        <w:t xml:space="preserve"> mensal</w:t>
      </w:r>
      <w:r w:rsidR="00E90C5B">
        <w:rPr>
          <w:rFonts w:ascii="Arial" w:hAnsi="Arial" w:cs="Arial"/>
          <w:sz w:val="22"/>
          <w:szCs w:val="22"/>
        </w:rPr>
        <w:t xml:space="preserve"> terá por base os seguintes cálculos:</w:t>
      </w:r>
    </w:p>
    <w:tbl>
      <w:tblPr>
        <w:tblW w:w="0" w:type="auto"/>
        <w:jc w:val="center"/>
        <w:tblInd w:w="23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0"/>
        <w:gridCol w:w="1074"/>
      </w:tblGrid>
      <w:tr w:rsidR="00E90C5B" w:rsidTr="001B67DD">
        <w:trPr>
          <w:trHeight w:val="542"/>
          <w:jc w:val="center"/>
        </w:trPr>
        <w:tc>
          <w:tcPr>
            <w:tcW w:w="2900" w:type="dxa"/>
            <w:tcBorders>
              <w:top w:val="double" w:sz="2" w:space="0" w:color="000000"/>
              <w:left w:val="doub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Remuneração Ilíquida</w:t>
            </w:r>
          </w:p>
        </w:tc>
        <w:tc>
          <w:tcPr>
            <w:tcW w:w="1074" w:type="dxa"/>
            <w:tcBorders>
              <w:top w:val="double" w:sz="2" w:space="0" w:color="000000"/>
              <w:left w:val="single" w:sz="2" w:space="0" w:color="000000"/>
              <w:bottom w:val="single" w:sz="1" w:space="0" w:color="000000"/>
              <w:right w:val="doub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988,00 €</w:t>
            </w:r>
          </w:p>
        </w:tc>
      </w:tr>
      <w:tr w:rsidR="00E90C5B" w:rsidTr="001B67DD">
        <w:trPr>
          <w:trHeight w:val="470"/>
          <w:jc w:val="center"/>
        </w:trPr>
        <w:tc>
          <w:tcPr>
            <w:tcW w:w="2900" w:type="dxa"/>
            <w:tcBorders>
              <w:top w:val="single" w:sz="1" w:space="0" w:color="000000"/>
              <w:left w:val="doub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E90C5B" w:rsidRDefault="001B67DD" w:rsidP="007409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(-)</w:t>
            </w:r>
            <w:r w:rsidR="00E90C5B">
              <w:rPr>
                <w:rFonts w:ascii="Arial" w:hAnsi="Arial" w:cs="Arial"/>
                <w:sz w:val="22"/>
                <w:szCs w:val="22"/>
              </w:rPr>
              <w:t xml:space="preserve"> IRS</w:t>
            </w:r>
          </w:p>
        </w:tc>
        <w:tc>
          <w:tcPr>
            <w:tcW w:w="1074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  <w:right w:val="doub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79,00 €</w:t>
            </w:r>
          </w:p>
        </w:tc>
      </w:tr>
      <w:tr w:rsidR="00E90C5B" w:rsidTr="001B67DD">
        <w:trPr>
          <w:trHeight w:val="434"/>
          <w:jc w:val="center"/>
        </w:trPr>
        <w:tc>
          <w:tcPr>
            <w:tcW w:w="2900" w:type="dxa"/>
            <w:tcBorders>
              <w:top w:val="single" w:sz="1" w:space="0" w:color="000000"/>
              <w:left w:val="doub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90C5B" w:rsidRDefault="001B67DD" w:rsidP="007409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(-)</w:t>
            </w:r>
            <w:r w:rsidR="00E90C5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Segurança</w:t>
            </w:r>
            <w:r w:rsidR="00E90C5B">
              <w:rPr>
                <w:rFonts w:ascii="Arial" w:hAnsi="Arial" w:cs="Arial"/>
                <w:sz w:val="22"/>
                <w:szCs w:val="22"/>
              </w:rPr>
              <w:t xml:space="preserve"> Social</w:t>
            </w:r>
            <w:r>
              <w:rPr>
                <w:rFonts w:ascii="Arial" w:hAnsi="Arial" w:cs="Arial"/>
                <w:sz w:val="22"/>
                <w:szCs w:val="22"/>
              </w:rPr>
              <w:t xml:space="preserve"> (11%)</w:t>
            </w:r>
          </w:p>
        </w:tc>
        <w:tc>
          <w:tcPr>
            <w:tcW w:w="1074" w:type="dxa"/>
            <w:tcBorders>
              <w:top w:val="single" w:sz="1" w:space="0" w:color="000000"/>
              <w:left w:val="single" w:sz="2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108,68 €</w:t>
            </w:r>
          </w:p>
        </w:tc>
      </w:tr>
      <w:tr w:rsidR="00E90C5B" w:rsidTr="001B67DD">
        <w:trPr>
          <w:trHeight w:val="496"/>
          <w:jc w:val="center"/>
        </w:trPr>
        <w:tc>
          <w:tcPr>
            <w:tcW w:w="290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 Remuneração Líquida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800,32 €</w:t>
            </w:r>
          </w:p>
        </w:tc>
      </w:tr>
    </w:tbl>
    <w:p w:rsidR="00E90C5B" w:rsidRDefault="00E90C5B" w:rsidP="007409B5">
      <w:pPr>
        <w:tabs>
          <w:tab w:val="left" w:pos="1080"/>
          <w:tab w:val="left" w:pos="5400"/>
        </w:tabs>
        <w:spacing w:line="360" w:lineRule="auto"/>
        <w:ind w:firstLine="567"/>
        <w:jc w:val="center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da Penhora</w:t>
      </w:r>
      <w:r>
        <w:rPr>
          <w:rFonts w:ascii="Arial" w:hAnsi="Arial" w:cs="Arial"/>
          <w:sz w:val="22"/>
          <w:szCs w:val="22"/>
        </w:rPr>
        <w:t xml:space="preserve"> = 1/3 x Remuneração </w:t>
      </w:r>
      <w:r w:rsidR="001B67D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íquida </w:t>
      </w:r>
    </w:p>
    <w:p w:rsidR="00E90C5B" w:rsidRDefault="00E90C5B" w:rsidP="007409B5">
      <w:pPr>
        <w:tabs>
          <w:tab w:val="left" w:pos="900"/>
          <w:tab w:val="left" w:pos="2700"/>
          <w:tab w:val="left" w:pos="5400"/>
        </w:tabs>
        <w:spacing w:line="360" w:lineRule="auto"/>
        <w:ind w:firstLine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= 1/3 X </w:t>
      </w:r>
      <w:r w:rsidR="007051E8">
        <w:rPr>
          <w:rFonts w:ascii="Arial" w:hAnsi="Arial" w:cs="Arial"/>
          <w:sz w:val="22"/>
          <w:szCs w:val="22"/>
        </w:rPr>
        <w:t>800</w:t>
      </w:r>
      <w:r>
        <w:rPr>
          <w:rFonts w:ascii="Arial" w:hAnsi="Arial" w:cs="Arial"/>
          <w:sz w:val="22"/>
          <w:szCs w:val="22"/>
        </w:rPr>
        <w:t>,</w:t>
      </w:r>
      <w:r w:rsidR="007051E8">
        <w:rPr>
          <w:rFonts w:ascii="Arial" w:hAnsi="Arial" w:cs="Arial"/>
          <w:sz w:val="22"/>
          <w:szCs w:val="22"/>
        </w:rPr>
        <w:t>32</w:t>
      </w:r>
      <w:r>
        <w:rPr>
          <w:rFonts w:ascii="Arial" w:hAnsi="Arial" w:cs="Arial"/>
          <w:sz w:val="22"/>
          <w:szCs w:val="22"/>
        </w:rPr>
        <w:t xml:space="preserve"> €</w:t>
      </w:r>
    </w:p>
    <w:p w:rsidR="00E90C5B" w:rsidRDefault="00E90C5B" w:rsidP="007409B5">
      <w:pPr>
        <w:tabs>
          <w:tab w:val="left" w:pos="900"/>
        </w:tabs>
        <w:spacing w:line="360" w:lineRule="auto"/>
        <w:ind w:firstLine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           = </w:t>
      </w:r>
      <w:r>
        <w:rPr>
          <w:rFonts w:ascii="Arial" w:hAnsi="Arial" w:cs="Arial"/>
          <w:b/>
          <w:sz w:val="22"/>
          <w:szCs w:val="22"/>
        </w:rPr>
        <w:t>266,77 €</w:t>
      </w:r>
    </w:p>
    <w:p w:rsidR="00E90C5B" w:rsidRDefault="00E90C5B" w:rsidP="007409B5">
      <w:pPr>
        <w:tabs>
          <w:tab w:val="left" w:pos="900"/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90C5B" w:rsidRDefault="00E90C5B" w:rsidP="007409B5">
      <w:pPr>
        <w:tabs>
          <w:tab w:val="left" w:pos="900"/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Remuneração Líquida </w:t>
      </w:r>
      <w:r>
        <w:rPr>
          <w:rFonts w:ascii="Arial" w:hAnsi="Arial" w:cs="Arial"/>
          <w:sz w:val="22"/>
          <w:szCs w:val="22"/>
        </w:rPr>
        <w:t xml:space="preserve">(após penhora) = 800,32 – 266,77€ = </w:t>
      </w:r>
      <w:r>
        <w:rPr>
          <w:rFonts w:ascii="Arial" w:hAnsi="Arial" w:cs="Arial"/>
          <w:b/>
          <w:sz w:val="22"/>
          <w:szCs w:val="22"/>
        </w:rPr>
        <w:t>533,55 €</w:t>
      </w:r>
    </w:p>
    <w:p w:rsidR="007409B5" w:rsidRDefault="007409B5" w:rsidP="007409B5">
      <w:pPr>
        <w:tabs>
          <w:tab w:val="left" w:pos="90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C5B" w:rsidRDefault="007409B5" w:rsidP="007409B5">
      <w:pPr>
        <w:tabs>
          <w:tab w:val="left" w:pos="90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</w:t>
      </w:r>
      <w:r w:rsidR="00E90C5B">
        <w:rPr>
          <w:rFonts w:ascii="Arial" w:hAnsi="Arial" w:cs="Arial"/>
          <w:sz w:val="22"/>
          <w:szCs w:val="22"/>
        </w:rPr>
        <w:t>fectuados os cálculos e dando cumprimento ao artigo 824º do Código do Processo Civil, informamos que irá ser descontado mensalmente</w:t>
      </w:r>
      <w:r w:rsidR="001B67DD">
        <w:rPr>
          <w:rFonts w:ascii="Arial" w:hAnsi="Arial" w:cs="Arial"/>
          <w:sz w:val="22"/>
          <w:szCs w:val="22"/>
        </w:rPr>
        <w:t>, a partir do mês de Maio de 2009,</w:t>
      </w:r>
      <w:r w:rsidR="00E90C5B">
        <w:rPr>
          <w:rFonts w:ascii="Arial" w:hAnsi="Arial" w:cs="Arial"/>
          <w:sz w:val="22"/>
          <w:szCs w:val="22"/>
        </w:rPr>
        <w:t xml:space="preserve"> ao </w:t>
      </w:r>
      <w:r w:rsidR="005E42BB">
        <w:rPr>
          <w:rFonts w:ascii="Arial" w:hAnsi="Arial" w:cs="Arial"/>
          <w:sz w:val="22"/>
          <w:szCs w:val="22"/>
        </w:rPr>
        <w:t>colaborador</w:t>
      </w:r>
      <w:r w:rsidR="00E90C5B">
        <w:rPr>
          <w:rFonts w:ascii="Arial" w:hAnsi="Arial" w:cs="Arial"/>
          <w:sz w:val="22"/>
          <w:szCs w:val="22"/>
        </w:rPr>
        <w:t xml:space="preserve"> Pedro Aguiar, o valor de 266,77 €, passando assim o valor da sua remuneração líquida para 533,55 €, não ficando assim, inferior à retribuição mínima mensal garantida (475,00€). </w:t>
      </w:r>
      <w:r w:rsidR="00E90C5B">
        <w:rPr>
          <w:rFonts w:ascii="Arial" w:hAnsi="Arial" w:cs="Arial"/>
          <w:sz w:val="22"/>
          <w:szCs w:val="22"/>
        </w:rPr>
        <w:tab/>
      </w:r>
    </w:p>
    <w:p w:rsidR="00E90C5B" w:rsidRDefault="00E90C5B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</w:p>
    <w:p w:rsidR="00E90C5B" w:rsidRPr="007409B5" w:rsidRDefault="00E90C5B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409B5">
        <w:rPr>
          <w:rFonts w:ascii="Arial" w:hAnsi="Arial" w:cs="Arial"/>
          <w:b/>
          <w:sz w:val="22"/>
          <w:szCs w:val="22"/>
          <w:u w:val="single"/>
        </w:rPr>
        <w:t>Contabilisticamente:</w:t>
      </w:r>
    </w:p>
    <w:p w:rsidR="00530669" w:rsidRDefault="00530669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</w:p>
    <w:p w:rsidR="00E90C5B" w:rsidRDefault="005E42BB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Apesar do processamento dos vencimentos ser t</w:t>
      </w:r>
      <w:r w:rsidR="00E90C5B">
        <w:rPr>
          <w:rFonts w:ascii="Arial" w:hAnsi="Arial" w:cs="Arial"/>
          <w:sz w:val="22"/>
          <w:szCs w:val="22"/>
        </w:rPr>
        <w:t>rimestralmente,</w:t>
      </w:r>
      <w:r>
        <w:rPr>
          <w:rFonts w:ascii="Arial" w:hAnsi="Arial" w:cs="Arial"/>
          <w:sz w:val="22"/>
          <w:szCs w:val="22"/>
        </w:rPr>
        <w:t xml:space="preserve"> e dado que a penhora é mensal e iniciada em Maio de 2009,</w:t>
      </w:r>
      <w:r w:rsidR="00E90C5B">
        <w:rPr>
          <w:rFonts w:ascii="Arial" w:hAnsi="Arial" w:cs="Arial"/>
          <w:sz w:val="22"/>
          <w:szCs w:val="22"/>
        </w:rPr>
        <w:t xml:space="preserve"> serão efectuados os seguintes</w:t>
      </w:r>
      <w:r w:rsidR="00E50C71">
        <w:rPr>
          <w:rFonts w:ascii="Arial" w:hAnsi="Arial" w:cs="Arial"/>
          <w:sz w:val="22"/>
          <w:szCs w:val="22"/>
        </w:rPr>
        <w:t xml:space="preserve"> </w:t>
      </w:r>
      <w:r w:rsidR="00E90C5B">
        <w:rPr>
          <w:rFonts w:ascii="Arial" w:hAnsi="Arial" w:cs="Arial"/>
          <w:sz w:val="22"/>
          <w:szCs w:val="22"/>
        </w:rPr>
        <w:t>lançamentos:</w:t>
      </w:r>
    </w:p>
    <w:p w:rsidR="007409B5" w:rsidRDefault="007409B5" w:rsidP="007409B5">
      <w:pPr>
        <w:tabs>
          <w:tab w:val="left" w:pos="90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C5B" w:rsidRPr="007409B5" w:rsidRDefault="00E50C71" w:rsidP="007409B5">
      <w:pPr>
        <w:tabs>
          <w:tab w:val="left" w:pos="900"/>
          <w:tab w:val="left" w:pos="54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409B5">
        <w:rPr>
          <w:rFonts w:ascii="Arial" w:hAnsi="Arial" w:cs="Arial"/>
          <w:b/>
          <w:sz w:val="22"/>
          <w:szCs w:val="22"/>
        </w:rPr>
        <w:t>Pelo processamento do 2º trimestre de 2009: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52"/>
        <w:gridCol w:w="959"/>
        <w:gridCol w:w="3880"/>
        <w:gridCol w:w="1357"/>
      </w:tblGrid>
      <w:tr w:rsidR="00E90C5B">
        <w:trPr>
          <w:trHeight w:val="255"/>
        </w:trPr>
        <w:tc>
          <w:tcPr>
            <w:tcW w:w="252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9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6321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Remunerações do Pessoal</w:t>
            </w:r>
          </w:p>
        </w:tc>
        <w:tc>
          <w:tcPr>
            <w:tcW w:w="1357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2.964,00 € </w:t>
            </w:r>
          </w:p>
        </w:tc>
      </w:tr>
      <w:tr w:rsidR="00E90C5B">
        <w:trPr>
          <w:trHeight w:val="255"/>
        </w:trPr>
        <w:tc>
          <w:tcPr>
            <w:tcW w:w="252" w:type="dxa"/>
            <w:vAlign w:val="bottom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959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1721F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Remunerações a Pagar - ao Pessoal</w:t>
            </w:r>
          </w:p>
        </w:tc>
        <w:tc>
          <w:tcPr>
            <w:tcW w:w="1357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2400,96 € </w:t>
            </w:r>
          </w:p>
        </w:tc>
      </w:tr>
      <w:tr w:rsidR="00E90C5B">
        <w:trPr>
          <w:trHeight w:val="255"/>
        </w:trPr>
        <w:tc>
          <w:tcPr>
            <w:tcW w:w="252" w:type="dxa"/>
            <w:vAlign w:val="bottom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959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24211</w:t>
            </w:r>
            <w:r w:rsidR="001721F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IRS - Trabalho dependente</w:t>
            </w:r>
          </w:p>
        </w:tc>
        <w:tc>
          <w:tcPr>
            <w:tcW w:w="1357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237,00 € </w:t>
            </w:r>
          </w:p>
        </w:tc>
      </w:tr>
      <w:tr w:rsidR="00E90C5B">
        <w:trPr>
          <w:trHeight w:val="270"/>
        </w:trPr>
        <w:tc>
          <w:tcPr>
            <w:tcW w:w="252" w:type="dxa"/>
            <w:vAlign w:val="bottom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959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2451</w:t>
            </w:r>
            <w:r w:rsidR="00A8133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Seg. Social</w:t>
            </w:r>
          </w:p>
        </w:tc>
        <w:tc>
          <w:tcPr>
            <w:tcW w:w="1357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326,04 € </w:t>
            </w:r>
          </w:p>
        </w:tc>
      </w:tr>
    </w:tbl>
    <w:p w:rsidR="00E90C5B" w:rsidRDefault="00E90C5B" w:rsidP="007409B5">
      <w:pPr>
        <w:tabs>
          <w:tab w:val="left" w:pos="54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86141A" w:rsidRDefault="0086141A" w:rsidP="007409B5">
      <w:pPr>
        <w:tabs>
          <w:tab w:val="left" w:pos="540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C5B" w:rsidRPr="007409B5" w:rsidRDefault="00E50C71" w:rsidP="007409B5">
      <w:pPr>
        <w:tabs>
          <w:tab w:val="left" w:pos="540"/>
          <w:tab w:val="left" w:pos="54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409B5">
        <w:rPr>
          <w:rFonts w:ascii="Arial" w:hAnsi="Arial" w:cs="Arial"/>
          <w:b/>
          <w:sz w:val="22"/>
          <w:szCs w:val="22"/>
        </w:rPr>
        <w:t>Pela penhora dos vencimentos de Maio e Junho de 2009: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1"/>
        <w:gridCol w:w="960"/>
        <w:gridCol w:w="3880"/>
        <w:gridCol w:w="1288"/>
      </w:tblGrid>
      <w:tr w:rsidR="00E90C5B">
        <w:trPr>
          <w:trHeight w:val="255"/>
        </w:trPr>
        <w:tc>
          <w:tcPr>
            <w:tcW w:w="251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92664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Remunerações a Pagar - ao Pessoal</w:t>
            </w:r>
          </w:p>
        </w:tc>
        <w:tc>
          <w:tcPr>
            <w:tcW w:w="1288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50C71">
              <w:rPr>
                <w:rFonts w:ascii="Arial" w:hAnsi="Arial" w:cs="Arial"/>
                <w:b/>
                <w:bCs/>
                <w:sz w:val="20"/>
                <w:szCs w:val="20"/>
              </w:rPr>
              <w:t>533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E50C71">
              <w:rPr>
                <w:rFonts w:ascii="Arial" w:hAnsi="Arial" w:cs="Arial"/>
                <w:b/>
                <w:bCs/>
                <w:sz w:val="20"/>
                <w:szCs w:val="20"/>
              </w:rPr>
              <w:t>54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 </w:t>
            </w:r>
          </w:p>
        </w:tc>
      </w:tr>
      <w:tr w:rsidR="00E90C5B">
        <w:trPr>
          <w:trHeight w:val="270"/>
        </w:trPr>
        <w:tc>
          <w:tcPr>
            <w:tcW w:w="251" w:type="dxa"/>
            <w:vAlign w:val="bottom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960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92664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Pessoal - Salários Penhorados</w:t>
            </w:r>
          </w:p>
        </w:tc>
        <w:tc>
          <w:tcPr>
            <w:tcW w:w="1288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50C71">
              <w:rPr>
                <w:rFonts w:ascii="Arial" w:hAnsi="Arial" w:cs="Arial"/>
                <w:b/>
                <w:bCs/>
                <w:sz w:val="20"/>
                <w:szCs w:val="20"/>
              </w:rPr>
              <w:t>533,54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 </w:t>
            </w:r>
          </w:p>
        </w:tc>
      </w:tr>
    </w:tbl>
    <w:p w:rsidR="00E90C5B" w:rsidRDefault="00E90C5B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</w:p>
    <w:p w:rsidR="0086141A" w:rsidRDefault="0086141A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</w:p>
    <w:p w:rsidR="00E90C5B" w:rsidRPr="007409B5" w:rsidRDefault="00E50C71" w:rsidP="007409B5">
      <w:pPr>
        <w:tabs>
          <w:tab w:val="left" w:pos="900"/>
          <w:tab w:val="left" w:pos="54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409B5">
        <w:rPr>
          <w:rFonts w:ascii="Arial" w:hAnsi="Arial" w:cs="Arial"/>
          <w:b/>
          <w:sz w:val="22"/>
          <w:szCs w:val="22"/>
        </w:rPr>
        <w:t>Pelo pagamento ao solicitador de execução</w:t>
      </w:r>
      <w:r w:rsidR="00E90C5B" w:rsidRPr="007409B5">
        <w:rPr>
          <w:rFonts w:ascii="Arial" w:hAnsi="Arial" w:cs="Arial"/>
          <w:b/>
          <w:sz w:val="22"/>
          <w:szCs w:val="22"/>
        </w:rPr>
        <w:t>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1"/>
        <w:gridCol w:w="960"/>
        <w:gridCol w:w="3880"/>
        <w:gridCol w:w="1288"/>
      </w:tblGrid>
      <w:tr w:rsidR="00E90C5B">
        <w:trPr>
          <w:trHeight w:val="255"/>
        </w:trPr>
        <w:tc>
          <w:tcPr>
            <w:tcW w:w="251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vAlign w:val="bottom"/>
          </w:tcPr>
          <w:p w:rsidR="00E90C5B" w:rsidRDefault="00E90C5B" w:rsidP="007409B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92664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Pessoal - Salários Penhorados</w:t>
            </w:r>
          </w:p>
        </w:tc>
        <w:tc>
          <w:tcPr>
            <w:tcW w:w="1288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50C71">
              <w:rPr>
                <w:rFonts w:ascii="Arial" w:hAnsi="Arial" w:cs="Arial"/>
                <w:b/>
                <w:bCs/>
                <w:sz w:val="20"/>
                <w:szCs w:val="20"/>
              </w:rPr>
              <w:t>533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E50C71">
              <w:rPr>
                <w:rFonts w:ascii="Arial" w:hAnsi="Arial" w:cs="Arial"/>
                <w:b/>
                <w:bCs/>
                <w:sz w:val="20"/>
                <w:szCs w:val="20"/>
              </w:rPr>
              <w:t>54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 </w:t>
            </w:r>
          </w:p>
        </w:tc>
      </w:tr>
      <w:tr w:rsidR="00E90C5B">
        <w:trPr>
          <w:trHeight w:val="270"/>
        </w:trPr>
        <w:tc>
          <w:tcPr>
            <w:tcW w:w="251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960" w:type="dxa"/>
            <w:vAlign w:val="bottom"/>
          </w:tcPr>
          <w:p w:rsidR="00E90C5B" w:rsidRDefault="00E90C5B" w:rsidP="007409B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3880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Banco SE On-Line</w:t>
            </w:r>
          </w:p>
        </w:tc>
        <w:tc>
          <w:tcPr>
            <w:tcW w:w="1288" w:type="dxa"/>
            <w:vAlign w:val="bottom"/>
          </w:tcPr>
          <w:p w:rsidR="00E90C5B" w:rsidRDefault="00E90C5B" w:rsidP="007409B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25387">
              <w:rPr>
                <w:rFonts w:ascii="Arial" w:hAnsi="Arial" w:cs="Arial"/>
                <w:b/>
                <w:bCs/>
                <w:sz w:val="20"/>
                <w:szCs w:val="20"/>
              </w:rPr>
              <w:t>533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425387">
              <w:rPr>
                <w:rFonts w:ascii="Arial" w:hAnsi="Arial" w:cs="Arial"/>
                <w:b/>
                <w:bCs/>
                <w:sz w:val="20"/>
                <w:szCs w:val="20"/>
              </w:rPr>
              <w:t>54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 </w:t>
            </w:r>
          </w:p>
        </w:tc>
      </w:tr>
    </w:tbl>
    <w:p w:rsidR="00E90C5B" w:rsidRDefault="00E90C5B" w:rsidP="007409B5">
      <w:pPr>
        <w:tabs>
          <w:tab w:val="left" w:pos="900"/>
          <w:tab w:val="left" w:pos="5400"/>
        </w:tabs>
        <w:spacing w:line="360" w:lineRule="auto"/>
        <w:ind w:firstLine="540"/>
        <w:jc w:val="both"/>
        <w:rPr>
          <w:rFonts w:ascii="Arial" w:hAnsi="Arial" w:cs="Arial"/>
          <w:sz w:val="22"/>
          <w:szCs w:val="22"/>
        </w:rPr>
      </w:pPr>
    </w:p>
    <w:sectPr w:rsidR="00E90C5B" w:rsidSect="001B67DD">
      <w:headerReference w:type="default" r:id="rId7"/>
      <w:footerReference w:type="default" r:id="rId8"/>
      <w:pgSz w:w="11905" w:h="16837"/>
      <w:pgMar w:top="1417" w:right="1701" w:bottom="1417" w:left="1701" w:header="720" w:footer="720" w:gutter="0"/>
      <w:cols w:space="720"/>
      <w:titlePg/>
      <w:docGrid w:linePitch="326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5F5" w:rsidRDefault="002A75F5" w:rsidP="0086141A">
      <w:r>
        <w:separator/>
      </w:r>
    </w:p>
  </w:endnote>
  <w:endnote w:type="continuationSeparator" w:id="0">
    <w:p w:rsidR="002A75F5" w:rsidRDefault="002A75F5" w:rsidP="008614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669" w:rsidRDefault="00530669" w:rsidP="0086141A">
    <w:pPr>
      <w:pStyle w:val="Rodap"/>
      <w:tabs>
        <w:tab w:val="clear" w:pos="8504"/>
        <w:tab w:val="right" w:pos="9072"/>
      </w:tabs>
      <w:ind w:left="-567" w:right="-568"/>
      <w:jc w:val="center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bCs/>
        <w:color w:val="000000"/>
        <w:sz w:val="18"/>
        <w:szCs w:val="18"/>
      </w:rPr>
      <w:t xml:space="preserve">Consanitar – Materiais Construção e Sanitários, Lda </w:t>
    </w:r>
    <w:r>
      <w:rPr>
        <w:rFonts w:ascii="Arial" w:hAnsi="Arial" w:cs="Arial"/>
        <w:color w:val="000000"/>
        <w:sz w:val="18"/>
        <w:szCs w:val="18"/>
      </w:rPr>
      <w:t>•</w:t>
    </w:r>
    <w:r>
      <w:rPr>
        <w:rFonts w:ascii="Arial" w:hAnsi="Arial" w:cs="Arial"/>
        <w:bCs/>
        <w:color w:val="000000"/>
        <w:sz w:val="18"/>
        <w:szCs w:val="18"/>
      </w:rPr>
      <w:t xml:space="preserve"> Zona Industrial da Taboeira </w:t>
    </w:r>
    <w:r>
      <w:rPr>
        <w:rFonts w:ascii="Arial" w:hAnsi="Arial" w:cs="Arial"/>
        <w:color w:val="000000"/>
        <w:sz w:val="18"/>
        <w:szCs w:val="18"/>
      </w:rPr>
      <w:t xml:space="preserve">• 3800-055 AVEIRO </w:t>
    </w:r>
  </w:p>
  <w:p w:rsidR="00530669" w:rsidRDefault="00530669" w:rsidP="0086141A">
    <w:pPr>
      <w:pStyle w:val="Rodap"/>
      <w:tabs>
        <w:tab w:val="clear" w:pos="8504"/>
        <w:tab w:val="right" w:pos="9072"/>
      </w:tabs>
      <w:ind w:left="-567" w:right="-568"/>
      <w:jc w:val="center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color w:val="000000"/>
        <w:sz w:val="18"/>
        <w:szCs w:val="18"/>
      </w:rPr>
      <w:t xml:space="preserve"> Tel. 234 222 </w:t>
    </w:r>
    <w:proofErr w:type="spellStart"/>
    <w:r>
      <w:rPr>
        <w:rFonts w:ascii="Arial" w:hAnsi="Arial" w:cs="Arial"/>
        <w:color w:val="000000"/>
        <w:sz w:val="18"/>
        <w:szCs w:val="18"/>
      </w:rPr>
      <w:t>222</w:t>
    </w:r>
    <w:proofErr w:type="spellEnd"/>
    <w:r>
      <w:rPr>
        <w:rFonts w:ascii="Arial" w:hAnsi="Arial" w:cs="Arial"/>
        <w:color w:val="000000"/>
        <w:sz w:val="18"/>
        <w:szCs w:val="18"/>
      </w:rPr>
      <w:t xml:space="preserve"> • Fax 234 222 223 • </w:t>
    </w:r>
    <w:hyperlink r:id="rId1" w:history="1">
      <w:r w:rsidRPr="00F63F7A">
        <w:rPr>
          <w:rStyle w:val="Hiperligao"/>
          <w:rFonts w:ascii="Arial" w:hAnsi="Arial" w:cs="Arial"/>
          <w:sz w:val="18"/>
          <w:szCs w:val="18"/>
        </w:rPr>
        <w:t>se11001@visit.uaveiro.eu</w:t>
      </w:r>
    </w:hyperlink>
    <w:r>
      <w:rPr>
        <w:rFonts w:ascii="Arial" w:hAnsi="Arial" w:cs="Arial"/>
        <w:color w:val="000000"/>
        <w:sz w:val="18"/>
        <w:szCs w:val="18"/>
      </w:rPr>
      <w:t xml:space="preserve"> • NIPC 500110018 • Cap. Social € 10.000</w:t>
    </w:r>
  </w:p>
  <w:p w:rsidR="00530669" w:rsidRDefault="00530669" w:rsidP="0086141A">
    <w:pPr>
      <w:pStyle w:val="Rodap"/>
      <w:tabs>
        <w:tab w:val="clear" w:pos="8504"/>
        <w:tab w:val="right" w:pos="9072"/>
      </w:tabs>
      <w:ind w:left="-567" w:right="-568"/>
      <w:jc w:val="center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>
      <w:rPr>
        <w:rFonts w:ascii="Arial" w:hAnsi="Arial" w:cs="Arial"/>
        <w:color w:val="000000"/>
        <w:sz w:val="18"/>
        <w:szCs w:val="18"/>
      </w:rPr>
      <w:t>Cons</w:t>
    </w:r>
    <w:proofErr w:type="spellEnd"/>
    <w:r>
      <w:rPr>
        <w:rFonts w:ascii="Arial" w:hAnsi="Arial" w:cs="Arial"/>
        <w:color w:val="000000"/>
        <w:sz w:val="18"/>
        <w:szCs w:val="18"/>
      </w:rPr>
      <w:t xml:space="preserve">. </w:t>
    </w:r>
    <w:proofErr w:type="spellStart"/>
    <w:r>
      <w:rPr>
        <w:rFonts w:ascii="Arial" w:hAnsi="Arial" w:cs="Arial"/>
        <w:color w:val="000000"/>
        <w:sz w:val="18"/>
        <w:szCs w:val="18"/>
      </w:rPr>
      <w:t>Reg</w:t>
    </w:r>
    <w:proofErr w:type="spellEnd"/>
    <w:r>
      <w:rPr>
        <w:rFonts w:ascii="Arial" w:hAnsi="Arial" w:cs="Arial"/>
        <w:color w:val="000000"/>
        <w:sz w:val="18"/>
        <w:szCs w:val="18"/>
      </w:rPr>
      <w:t xml:space="preserve">. </w:t>
    </w:r>
    <w:proofErr w:type="gramStart"/>
    <w:r>
      <w:rPr>
        <w:rFonts w:ascii="Arial" w:hAnsi="Arial" w:cs="Arial"/>
        <w:color w:val="000000"/>
        <w:sz w:val="18"/>
        <w:szCs w:val="18"/>
      </w:rPr>
      <w:t>Com</w:t>
    </w:r>
    <w:proofErr w:type="gramEnd"/>
    <w:r>
      <w:rPr>
        <w:rFonts w:ascii="Arial" w:hAnsi="Arial" w:cs="Arial"/>
        <w:color w:val="000000"/>
        <w:sz w:val="18"/>
        <w:szCs w:val="18"/>
      </w:rPr>
      <w:t xml:space="preserve">. Aveiro </w:t>
    </w:r>
    <w:proofErr w:type="spellStart"/>
    <w:r>
      <w:rPr>
        <w:rFonts w:ascii="Arial" w:hAnsi="Arial" w:cs="Arial"/>
        <w:color w:val="000000"/>
        <w:sz w:val="18"/>
        <w:szCs w:val="18"/>
      </w:rPr>
      <w:t>Mat</w:t>
    </w:r>
    <w:proofErr w:type="spellEnd"/>
    <w:r>
      <w:rPr>
        <w:rFonts w:ascii="Arial" w:hAnsi="Arial" w:cs="Arial"/>
        <w:color w:val="000000"/>
        <w:sz w:val="18"/>
        <w:szCs w:val="18"/>
      </w:rPr>
      <w:t>. N.º 500110018</w:t>
    </w:r>
  </w:p>
  <w:p w:rsidR="00530669" w:rsidRDefault="005306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5F5" w:rsidRDefault="002A75F5" w:rsidP="0086141A">
      <w:r>
        <w:separator/>
      </w:r>
    </w:p>
  </w:footnote>
  <w:footnote w:type="continuationSeparator" w:id="0">
    <w:p w:rsidR="002A75F5" w:rsidRDefault="002A75F5" w:rsidP="008614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669" w:rsidRDefault="00530669">
    <w:pPr>
      <w:pStyle w:val="Cabealho"/>
    </w:pPr>
    <w:r>
      <w:rPr>
        <w:noProof/>
        <w:lang w:eastAsia="pt-PT"/>
      </w:rPr>
      <w:drawing>
        <wp:inline distT="0" distB="0" distL="0" distR="0">
          <wp:extent cx="990600" cy="647700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6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5E42BB"/>
    <w:rsid w:val="00047FE9"/>
    <w:rsid w:val="000B5052"/>
    <w:rsid w:val="001721F4"/>
    <w:rsid w:val="001952A3"/>
    <w:rsid w:val="001B67DD"/>
    <w:rsid w:val="002A75F5"/>
    <w:rsid w:val="00425387"/>
    <w:rsid w:val="00530669"/>
    <w:rsid w:val="005803B3"/>
    <w:rsid w:val="005E31CC"/>
    <w:rsid w:val="005E42BB"/>
    <w:rsid w:val="007051E8"/>
    <w:rsid w:val="00726155"/>
    <w:rsid w:val="007409B5"/>
    <w:rsid w:val="00792C2F"/>
    <w:rsid w:val="00853190"/>
    <w:rsid w:val="0086141A"/>
    <w:rsid w:val="00926647"/>
    <w:rsid w:val="00A0579B"/>
    <w:rsid w:val="00A81333"/>
    <w:rsid w:val="00BE49C3"/>
    <w:rsid w:val="00E311CE"/>
    <w:rsid w:val="00E50C71"/>
    <w:rsid w:val="00E90C5B"/>
    <w:rsid w:val="00EA0758"/>
    <w:rsid w:val="00F22B60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2A3"/>
    <w:pPr>
      <w:suppressAutoHyphens/>
    </w:pPr>
    <w:rPr>
      <w:kern w:val="1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1952A3"/>
  </w:style>
  <w:style w:type="character" w:styleId="Hiperligao">
    <w:name w:val="Hyperlink"/>
    <w:rsid w:val="001952A3"/>
    <w:rPr>
      <w:color w:val="0000FF"/>
      <w:u w:val="single"/>
    </w:rPr>
  </w:style>
  <w:style w:type="character" w:customStyle="1" w:styleId="TextodebaloCarcter">
    <w:name w:val="Texto de balão Carácter"/>
    <w:rsid w:val="001952A3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Corpodetexto"/>
    <w:rsid w:val="001952A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rsid w:val="001952A3"/>
    <w:pPr>
      <w:spacing w:after="120"/>
    </w:pPr>
  </w:style>
  <w:style w:type="paragraph" w:styleId="Lista">
    <w:name w:val="List"/>
    <w:basedOn w:val="Corpodetexto"/>
    <w:rsid w:val="001952A3"/>
    <w:rPr>
      <w:rFonts w:cs="Tahoma"/>
    </w:rPr>
  </w:style>
  <w:style w:type="paragraph" w:customStyle="1" w:styleId="Caption">
    <w:name w:val="Caption"/>
    <w:basedOn w:val="Normal"/>
    <w:rsid w:val="001952A3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1952A3"/>
    <w:pPr>
      <w:suppressLineNumbers/>
    </w:pPr>
    <w:rPr>
      <w:rFonts w:cs="Tahoma"/>
    </w:rPr>
  </w:style>
  <w:style w:type="paragraph" w:styleId="Cabealho">
    <w:name w:val="header"/>
    <w:basedOn w:val="Normal"/>
    <w:rsid w:val="001952A3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952A3"/>
    <w:pPr>
      <w:suppressLineNumbers/>
      <w:tabs>
        <w:tab w:val="center" w:pos="4252"/>
        <w:tab w:val="right" w:pos="8504"/>
      </w:tabs>
    </w:pPr>
  </w:style>
  <w:style w:type="paragraph" w:customStyle="1" w:styleId="Textodebalo1">
    <w:name w:val="Texto de balão1"/>
    <w:basedOn w:val="Normal"/>
    <w:rsid w:val="001952A3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rsid w:val="001952A3"/>
    <w:pPr>
      <w:ind w:left="720"/>
    </w:pPr>
  </w:style>
  <w:style w:type="paragraph" w:styleId="Textodebalo">
    <w:name w:val="Balloon Text"/>
    <w:basedOn w:val="Normal"/>
    <w:link w:val="TextodebaloCarcter1"/>
    <w:uiPriority w:val="99"/>
    <w:semiHidden/>
    <w:unhideWhenUsed/>
    <w:rsid w:val="00853190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853190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11001@visit.uaveiro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890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Links>
    <vt:vector size="6" baseType="variant">
      <vt:variant>
        <vt:i4>3145752</vt:i4>
      </vt:variant>
      <vt:variant>
        <vt:i4>0</vt:i4>
      </vt:variant>
      <vt:variant>
        <vt:i4>0</vt:i4>
      </vt:variant>
      <vt:variant>
        <vt:i4>5</vt:i4>
      </vt:variant>
      <vt:variant>
        <vt:lpwstr>mailto:se11001@visit.uaveiro.eu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Antunes</dc:creator>
  <cp:lastModifiedBy>Tiago Antunes</cp:lastModifiedBy>
  <cp:revision>2</cp:revision>
  <cp:lastPrinted>2009-03-20T17:33:00Z</cp:lastPrinted>
  <dcterms:created xsi:type="dcterms:W3CDTF">2010-11-29T22:28:00Z</dcterms:created>
  <dcterms:modified xsi:type="dcterms:W3CDTF">2010-11-29T22:28:00Z</dcterms:modified>
</cp:coreProperties>
</file>