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elha"/>
        <w:tblpPr w:leftFromText="141" w:rightFromText="141" w:vertAnchor="page" w:horzAnchor="margin" w:tblpY="1321"/>
        <w:tblW w:w="9351" w:type="dxa"/>
        <w:tblLook w:val="04A0" w:firstRow="1" w:lastRow="0" w:firstColumn="1" w:lastColumn="0" w:noHBand="0" w:noVBand="1"/>
      </w:tblPr>
      <w:tblGrid>
        <w:gridCol w:w="971"/>
        <w:gridCol w:w="906"/>
        <w:gridCol w:w="7049"/>
        <w:gridCol w:w="425"/>
      </w:tblGrid>
      <w:tr w:rsidR="0022651C" w:rsidTr="00E9360A">
        <w:tc>
          <w:tcPr>
            <w:tcW w:w="971" w:type="dxa"/>
          </w:tcPr>
          <w:p w:rsidR="0022651C" w:rsidRDefault="0022651C" w:rsidP="007B0469">
            <w:r>
              <w:t>Questão</w:t>
            </w:r>
          </w:p>
        </w:tc>
        <w:tc>
          <w:tcPr>
            <w:tcW w:w="906" w:type="dxa"/>
          </w:tcPr>
          <w:p w:rsidR="0022651C" w:rsidRDefault="0022651C" w:rsidP="007B0469">
            <w:r>
              <w:t>Alínea</w:t>
            </w:r>
          </w:p>
        </w:tc>
        <w:tc>
          <w:tcPr>
            <w:tcW w:w="7474" w:type="dxa"/>
            <w:gridSpan w:val="2"/>
          </w:tcPr>
          <w:p w:rsidR="0022651C" w:rsidRDefault="0022651C" w:rsidP="007B0469">
            <w:r>
              <w:t xml:space="preserve">Justificação 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A</w:t>
            </w:r>
          </w:p>
        </w:tc>
        <w:tc>
          <w:tcPr>
            <w:tcW w:w="7049" w:type="dxa"/>
          </w:tcPr>
          <w:p w:rsidR="0022651C" w:rsidRPr="00E9360A" w:rsidRDefault="00426837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Todas as </w:t>
            </w:r>
            <w:r w:rsidR="003D0AA1" w:rsidRPr="00E9360A">
              <w:rPr>
                <w:sz w:val="20"/>
                <w:szCs w:val="20"/>
              </w:rPr>
              <w:t>sociedades anónimas</w:t>
            </w:r>
            <w:r w:rsidRPr="00E9360A">
              <w:rPr>
                <w:sz w:val="20"/>
                <w:szCs w:val="20"/>
              </w:rPr>
              <w:t xml:space="preserve"> são</w:t>
            </w:r>
            <w:r w:rsidR="001B6EEB" w:rsidRPr="00E9360A">
              <w:rPr>
                <w:sz w:val="20"/>
                <w:szCs w:val="20"/>
              </w:rPr>
              <w:t xml:space="preserve"> obrigada</w:t>
            </w:r>
            <w:r w:rsidRPr="00E9360A">
              <w:rPr>
                <w:sz w:val="20"/>
                <w:szCs w:val="20"/>
              </w:rPr>
              <w:t>s</w:t>
            </w:r>
            <w:r w:rsidR="001B6EEB" w:rsidRPr="00E9360A">
              <w:rPr>
                <w:sz w:val="20"/>
                <w:szCs w:val="20"/>
              </w:rPr>
              <w:t xml:space="preserve"> a certificação legal de contas: CSC </w:t>
            </w:r>
            <w:r w:rsidR="00E72AF7" w:rsidRPr="00E9360A">
              <w:rPr>
                <w:sz w:val="20"/>
                <w:szCs w:val="20"/>
              </w:rPr>
              <w:t xml:space="preserve">art.º 413º </w:t>
            </w:r>
            <w:r w:rsidR="00447DAD" w:rsidRPr="00E9360A">
              <w:rPr>
                <w:sz w:val="20"/>
                <w:szCs w:val="20"/>
              </w:rPr>
              <w:t xml:space="preserve">+ </w:t>
            </w:r>
            <w:r w:rsidR="00A77FDD" w:rsidRPr="00E9360A">
              <w:rPr>
                <w:sz w:val="20"/>
                <w:szCs w:val="20"/>
              </w:rPr>
              <w:t>dec</w:t>
            </w:r>
            <w:r w:rsidR="00E72AF7" w:rsidRPr="00E9360A">
              <w:rPr>
                <w:sz w:val="20"/>
                <w:szCs w:val="20"/>
              </w:rPr>
              <w:t xml:space="preserve">reto </w:t>
            </w:r>
            <w:r w:rsidR="00A77FDD" w:rsidRPr="00E9360A">
              <w:rPr>
                <w:sz w:val="20"/>
                <w:szCs w:val="20"/>
              </w:rPr>
              <w:t>lei 158/2009 artº4 nº2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2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D</w:t>
            </w:r>
          </w:p>
        </w:tc>
        <w:tc>
          <w:tcPr>
            <w:tcW w:w="7049" w:type="dxa"/>
          </w:tcPr>
          <w:p w:rsidR="0022651C" w:rsidRPr="00E9360A" w:rsidRDefault="002B2438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Verificou-se </w:t>
            </w:r>
            <w:r w:rsidR="00F8219F" w:rsidRPr="00E9360A">
              <w:rPr>
                <w:sz w:val="20"/>
                <w:szCs w:val="20"/>
              </w:rPr>
              <w:t>aumento d</w:t>
            </w:r>
            <w:r w:rsidRPr="00E9360A">
              <w:rPr>
                <w:sz w:val="20"/>
                <w:szCs w:val="20"/>
              </w:rPr>
              <w:t xml:space="preserve">e </w:t>
            </w:r>
            <w:r w:rsidRPr="00E9360A">
              <w:rPr>
                <w:sz w:val="20"/>
                <w:szCs w:val="20"/>
                <w:u w:val="single"/>
              </w:rPr>
              <w:t>capital social</w:t>
            </w:r>
            <w:r w:rsidRPr="00E9360A">
              <w:rPr>
                <w:sz w:val="20"/>
                <w:szCs w:val="20"/>
              </w:rPr>
              <w:t xml:space="preserve"> </w:t>
            </w:r>
            <w:r w:rsidR="002F65F6" w:rsidRPr="00E9360A">
              <w:rPr>
                <w:sz w:val="20"/>
                <w:szCs w:val="20"/>
              </w:rPr>
              <w:t xml:space="preserve">(51) </w:t>
            </w:r>
            <w:r w:rsidRPr="00E9360A">
              <w:rPr>
                <w:sz w:val="20"/>
                <w:szCs w:val="20"/>
              </w:rPr>
              <w:t xml:space="preserve">em 46.000€, diminuição de reservas livres </w:t>
            </w:r>
            <w:r w:rsidR="002F65F6" w:rsidRPr="00E9360A">
              <w:rPr>
                <w:sz w:val="20"/>
                <w:szCs w:val="20"/>
              </w:rPr>
              <w:t xml:space="preserve">(55) </w:t>
            </w:r>
            <w:r w:rsidRPr="00E9360A">
              <w:rPr>
                <w:sz w:val="20"/>
                <w:szCs w:val="20"/>
              </w:rPr>
              <w:t>em 21.000</w:t>
            </w:r>
            <w:r w:rsidR="00A15D0A" w:rsidRPr="00E9360A">
              <w:rPr>
                <w:sz w:val="20"/>
                <w:szCs w:val="20"/>
              </w:rPr>
              <w:t>€, prémio</w:t>
            </w:r>
            <w:r w:rsidRPr="00E9360A">
              <w:rPr>
                <w:sz w:val="20"/>
                <w:szCs w:val="20"/>
              </w:rPr>
              <w:t xml:space="preserve"> de emissão</w:t>
            </w:r>
            <w:r w:rsidR="002F65F6" w:rsidRPr="00E9360A">
              <w:rPr>
                <w:sz w:val="20"/>
                <w:szCs w:val="20"/>
              </w:rPr>
              <w:t xml:space="preserve"> (54)</w:t>
            </w:r>
            <w:r w:rsidRPr="00E9360A">
              <w:rPr>
                <w:sz w:val="20"/>
                <w:szCs w:val="20"/>
              </w:rPr>
              <w:t xml:space="preserve"> de 15.000€ (valor da subscrição-valor nominal)</w:t>
            </w:r>
            <w:r w:rsidR="00796692" w:rsidRPr="00E9360A">
              <w:rPr>
                <w:sz w:val="20"/>
                <w:szCs w:val="20"/>
              </w:rPr>
              <w:t>, aumento capital próprio (46000-21000+15000) em 40.000€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3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B</w:t>
            </w:r>
          </w:p>
        </w:tc>
        <w:tc>
          <w:tcPr>
            <w:tcW w:w="7049" w:type="dxa"/>
          </w:tcPr>
          <w:p w:rsidR="0022651C" w:rsidRPr="00E9360A" w:rsidRDefault="00A15D0A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Art.º 120º n 1 e 2 do EOCC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4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C</w:t>
            </w:r>
          </w:p>
        </w:tc>
        <w:tc>
          <w:tcPr>
            <w:tcW w:w="7049" w:type="dxa"/>
          </w:tcPr>
          <w:p w:rsidR="0022651C" w:rsidRPr="00E9360A" w:rsidRDefault="00493B5D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Art.º 13º do Regulamento das Sociedades Profissionais de Contabilistas Certificados e Sociedades de Contabilidade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5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D</w:t>
            </w:r>
          </w:p>
        </w:tc>
        <w:tc>
          <w:tcPr>
            <w:tcW w:w="7049" w:type="dxa"/>
          </w:tcPr>
          <w:p w:rsidR="0022651C" w:rsidRPr="00E9360A" w:rsidRDefault="0023133A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“… sempre pelo custo de aquisição…” não está correto porque a mensuração pode ser também pelo valor realizável líquido, sendo um inventário</w:t>
            </w:r>
            <w:r w:rsidR="00013C06" w:rsidRPr="00E9360A">
              <w:rPr>
                <w:sz w:val="20"/>
                <w:szCs w:val="20"/>
              </w:rPr>
              <w:t xml:space="preserve"> (NCRF 18)</w:t>
            </w:r>
            <w:r w:rsidRPr="00E9360A">
              <w:rPr>
                <w:sz w:val="20"/>
                <w:szCs w:val="20"/>
              </w:rPr>
              <w:br/>
              <w:t>“…revalorização…” está fora de questão porque só se aplica aos AFT</w:t>
            </w:r>
            <w:r w:rsidR="00013C06" w:rsidRPr="00E9360A">
              <w:rPr>
                <w:sz w:val="20"/>
                <w:szCs w:val="20"/>
              </w:rPr>
              <w:t xml:space="preserve"> (NCRF 7)</w:t>
            </w:r>
            <w:r w:rsidRPr="00E9360A">
              <w:rPr>
                <w:sz w:val="20"/>
                <w:szCs w:val="20"/>
              </w:rPr>
              <w:br/>
              <w:t>Se é para revenda é um inventário e não “…propriedade de investimento…”</w:t>
            </w:r>
            <w:r w:rsidR="00013C06" w:rsidRPr="00E9360A">
              <w:rPr>
                <w:sz w:val="20"/>
                <w:szCs w:val="20"/>
              </w:rPr>
              <w:t xml:space="preserve"> (NCRF 11)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6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B</w:t>
            </w:r>
          </w:p>
        </w:tc>
        <w:tc>
          <w:tcPr>
            <w:tcW w:w="7049" w:type="dxa"/>
          </w:tcPr>
          <w:p w:rsidR="0022651C" w:rsidRPr="00E9360A" w:rsidRDefault="00013C06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As regras para a determinação dos rend</w:t>
            </w:r>
            <w:r w:rsidR="0061477D" w:rsidRPr="00E9360A">
              <w:rPr>
                <w:sz w:val="20"/>
                <w:szCs w:val="20"/>
              </w:rPr>
              <w:t>i</w:t>
            </w:r>
            <w:r w:rsidRPr="00E9360A">
              <w:rPr>
                <w:sz w:val="20"/>
                <w:szCs w:val="20"/>
              </w:rPr>
              <w:t xml:space="preserve">mentos são </w:t>
            </w:r>
            <w:r w:rsidR="0061477D" w:rsidRPr="00E9360A">
              <w:rPr>
                <w:sz w:val="20"/>
                <w:szCs w:val="20"/>
              </w:rPr>
              <w:t>de acordo com o CIRC (</w:t>
            </w:r>
            <w:proofErr w:type="spellStart"/>
            <w:r w:rsidR="0061477D" w:rsidRPr="00E9360A">
              <w:rPr>
                <w:sz w:val="20"/>
                <w:szCs w:val="20"/>
              </w:rPr>
              <w:t>art</w:t>
            </w:r>
            <w:proofErr w:type="spellEnd"/>
            <w:r w:rsidR="0061477D" w:rsidRPr="00E9360A">
              <w:rPr>
                <w:sz w:val="20"/>
                <w:szCs w:val="20"/>
              </w:rPr>
              <w:t xml:space="preserve">º 32 CIRS), mas as taxas </w:t>
            </w:r>
            <w:r w:rsidR="004F3984" w:rsidRPr="00E9360A">
              <w:rPr>
                <w:sz w:val="20"/>
                <w:szCs w:val="20"/>
              </w:rPr>
              <w:t xml:space="preserve">gerais a aplicar </w:t>
            </w:r>
            <w:r w:rsidR="0061477D" w:rsidRPr="00E9360A">
              <w:rPr>
                <w:sz w:val="20"/>
                <w:szCs w:val="20"/>
              </w:rPr>
              <w:t>são as de IRS</w:t>
            </w:r>
            <w:r w:rsidR="004F3984" w:rsidRPr="00E9360A">
              <w:rPr>
                <w:sz w:val="20"/>
                <w:szCs w:val="20"/>
              </w:rPr>
              <w:t>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7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A</w:t>
            </w:r>
          </w:p>
        </w:tc>
        <w:tc>
          <w:tcPr>
            <w:tcW w:w="7049" w:type="dxa"/>
          </w:tcPr>
          <w:p w:rsidR="0022651C" w:rsidRPr="00E9360A" w:rsidRDefault="0061477D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Não são aceites para efeitos fiscais, as perdas por imparidade de dívidas de empresas associadas nem</w:t>
            </w:r>
            <w:r w:rsidR="00C3615B" w:rsidRPr="00E9360A">
              <w:rPr>
                <w:sz w:val="20"/>
                <w:szCs w:val="20"/>
              </w:rPr>
              <w:t xml:space="preserve"> de</w:t>
            </w:r>
            <w:r w:rsidRPr="00E9360A">
              <w:rPr>
                <w:sz w:val="20"/>
                <w:szCs w:val="20"/>
              </w:rPr>
              <w:t xml:space="preserve"> camaras municipais e, estando o crédito reclamado judicialmente é considerado na sua totalidade.</w:t>
            </w:r>
            <w:r w:rsidRPr="00E9360A">
              <w:rPr>
                <w:sz w:val="20"/>
                <w:szCs w:val="20"/>
              </w:rPr>
              <w:br/>
              <w:t>art.º 28º-B CIRC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8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B</w:t>
            </w:r>
          </w:p>
        </w:tc>
        <w:tc>
          <w:tcPr>
            <w:tcW w:w="7049" w:type="dxa"/>
          </w:tcPr>
          <w:p w:rsidR="0022651C" w:rsidRPr="00E9360A" w:rsidRDefault="004C3713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IFRIC 12</w:t>
            </w:r>
            <w:r w:rsidR="00017E2F" w:rsidRPr="00E9360A">
              <w:rPr>
                <w:sz w:val="20"/>
                <w:szCs w:val="20"/>
              </w:rPr>
              <w:t xml:space="preserve"> – Norma adotada pela Comunidade Europeia em 25.03.2009 e está focada em contratos em que o concessionário incorre em despesas nos anos iniciais da concessão á medida que constrói ou </w:t>
            </w:r>
            <w:r w:rsidR="008B385C" w:rsidRPr="00E9360A">
              <w:rPr>
                <w:sz w:val="20"/>
                <w:szCs w:val="20"/>
              </w:rPr>
              <w:t>melhor</w:t>
            </w:r>
            <w:r w:rsidR="007F55F2" w:rsidRPr="00E9360A">
              <w:rPr>
                <w:sz w:val="20"/>
                <w:szCs w:val="20"/>
              </w:rPr>
              <w:t>a</w:t>
            </w:r>
            <w:r w:rsidR="008B385C" w:rsidRPr="00E9360A">
              <w:rPr>
                <w:sz w:val="20"/>
                <w:szCs w:val="20"/>
              </w:rPr>
              <w:t xml:space="preserve"> infraestruturas</w:t>
            </w:r>
            <w:r w:rsidR="00017E2F" w:rsidRPr="00E9360A">
              <w:rPr>
                <w:sz w:val="20"/>
                <w:szCs w:val="20"/>
              </w:rPr>
              <w:t xml:space="preserve"> do serviço público.</w:t>
            </w:r>
            <w:r w:rsidR="008B385C" w:rsidRPr="00E9360A">
              <w:rPr>
                <w:sz w:val="20"/>
                <w:szCs w:val="20"/>
              </w:rPr>
              <w:t xml:space="preserve"> O concedente controla o interesse residual na infraestrutura concessionada, é efetuado um contrato de concessão onde prevê a devolução ao concedente de todos os bens objeto de concessão</w:t>
            </w:r>
            <w:r w:rsidR="007F55F2" w:rsidRPr="00E9360A">
              <w:rPr>
                <w:sz w:val="20"/>
                <w:szCs w:val="20"/>
              </w:rPr>
              <w:t xml:space="preserve"> (nunca será ativo fixo tangível para o concessionário porque quem controla o interesse é o concedente).</w:t>
            </w:r>
          </w:p>
          <w:p w:rsidR="008B385C" w:rsidRPr="00E9360A" w:rsidRDefault="008B385C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O concessionário reconhece a retribuição concedida para prestar serviços de construção como um ativo financeiro e/ou como um ativo intangível, </w:t>
            </w:r>
            <w:r w:rsidR="002901A1" w:rsidRPr="00E9360A">
              <w:rPr>
                <w:sz w:val="20"/>
                <w:szCs w:val="20"/>
              </w:rPr>
              <w:t>a</w:t>
            </w:r>
            <w:r w:rsidRPr="00E9360A">
              <w:rPr>
                <w:sz w:val="20"/>
                <w:szCs w:val="20"/>
              </w:rPr>
              <w:t>tendendo aos seguintes aspetos:</w:t>
            </w:r>
          </w:p>
          <w:p w:rsidR="008B385C" w:rsidRPr="00E9360A" w:rsidRDefault="008B385C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· </w:t>
            </w:r>
            <w:r w:rsidRPr="00E9360A">
              <w:rPr>
                <w:sz w:val="20"/>
                <w:szCs w:val="20"/>
                <w:u w:val="single"/>
              </w:rPr>
              <w:t>É reconhecido um ativo financeiro na extensão que o concessionário possui um direito incondicional de receber dinheiro,</w:t>
            </w:r>
            <w:r w:rsidR="002901A1" w:rsidRPr="00E9360A">
              <w:rPr>
                <w:sz w:val="20"/>
                <w:szCs w:val="20"/>
                <w:u w:val="single"/>
              </w:rPr>
              <w:t xml:space="preserve"> </w:t>
            </w:r>
            <w:r w:rsidRPr="00E9360A">
              <w:rPr>
                <w:sz w:val="20"/>
                <w:szCs w:val="20"/>
                <w:u w:val="single"/>
              </w:rPr>
              <w:t xml:space="preserve">independentemente da </w:t>
            </w:r>
            <w:r w:rsidR="002901A1" w:rsidRPr="00E9360A">
              <w:rPr>
                <w:sz w:val="20"/>
                <w:szCs w:val="20"/>
                <w:u w:val="single"/>
              </w:rPr>
              <w:t>u</w:t>
            </w:r>
            <w:r w:rsidRPr="00E9360A">
              <w:rPr>
                <w:sz w:val="20"/>
                <w:szCs w:val="20"/>
                <w:u w:val="single"/>
              </w:rPr>
              <w:t>tilização da infraestrutura</w:t>
            </w:r>
            <w:r w:rsidRPr="00E9360A">
              <w:rPr>
                <w:sz w:val="20"/>
                <w:szCs w:val="20"/>
              </w:rPr>
              <w:t xml:space="preserve"> (IFRIC 12, §16).</w:t>
            </w:r>
          </w:p>
          <w:p w:rsidR="008B385C" w:rsidRPr="00E9360A" w:rsidRDefault="008B385C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· O concessionário reconhece um ativo intangível na extensão que possui um direito de cobrar serviços pela utilização da infraestrutura (IFRIC 12, §17).</w:t>
            </w:r>
          </w:p>
          <w:p w:rsidR="00E3490E" w:rsidRPr="00E9360A" w:rsidRDefault="00881230" w:rsidP="007B0469">
            <w:pPr>
              <w:rPr>
                <w:sz w:val="20"/>
                <w:szCs w:val="20"/>
              </w:rPr>
            </w:pPr>
            <w:hyperlink r:id="rId7" w:history="1">
              <w:r w:rsidR="00E3490E" w:rsidRPr="00E9360A">
                <w:rPr>
                  <w:rStyle w:val="Hiperligao"/>
                  <w:sz w:val="20"/>
                  <w:szCs w:val="20"/>
                </w:rPr>
                <w:t>http://www.oroc.pt/fotos/editor2/Revista/48/Contabilidade.pdf</w:t>
              </w:r>
            </w:hyperlink>
            <w:r w:rsidR="00E3490E" w:rsidRPr="00E9360A">
              <w:rPr>
                <w:sz w:val="20"/>
                <w:szCs w:val="20"/>
              </w:rPr>
              <w:t xml:space="preserve"> </w:t>
            </w:r>
          </w:p>
        </w:tc>
      </w:tr>
      <w:tr w:rsidR="0022651C" w:rsidRPr="00E9360A" w:rsidTr="00E9360A">
        <w:trPr>
          <w:gridAfter w:val="1"/>
          <w:wAfter w:w="425" w:type="dxa"/>
          <w:trHeight w:val="3682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9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D</w:t>
            </w:r>
          </w:p>
        </w:tc>
        <w:tc>
          <w:tcPr>
            <w:tcW w:w="7049" w:type="dxa"/>
          </w:tcPr>
          <w:p w:rsidR="007B0469" w:rsidRPr="00E9360A" w:rsidRDefault="007B0469" w:rsidP="007B0469">
            <w:pPr>
              <w:rPr>
                <w:sz w:val="20"/>
                <w:szCs w:val="20"/>
              </w:rPr>
            </w:pPr>
            <w:r w:rsidRPr="00E9360A">
              <w:rPr>
                <w:noProof/>
                <w:sz w:val="20"/>
                <w:szCs w:val="20"/>
              </w:rPr>
              <w:drawing>
                <wp:inline distT="0" distB="0" distL="0" distR="0">
                  <wp:extent cx="3327400" cy="2223669"/>
                  <wp:effectExtent l="0" t="0" r="6350" b="571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60187723_1137113153163025_6241042764801245184_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222" cy="222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10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C</w:t>
            </w:r>
          </w:p>
        </w:tc>
        <w:tc>
          <w:tcPr>
            <w:tcW w:w="7049" w:type="dxa"/>
          </w:tcPr>
          <w:p w:rsidR="0022651C" w:rsidRPr="00E9360A" w:rsidRDefault="00DE0512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Não havendo inventários iniciais nem finais, a utilização do FIFO ou do custo médio ponderado é indiferente.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11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D</w:t>
            </w:r>
          </w:p>
        </w:tc>
        <w:tc>
          <w:tcPr>
            <w:tcW w:w="7049" w:type="dxa"/>
          </w:tcPr>
          <w:p w:rsidR="0022651C" w:rsidRPr="00E9360A" w:rsidRDefault="00555FDD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923.800 - 12.000 + 12.000 X 1,14 = 925.480 unidades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lastRenderedPageBreak/>
              <w:t>12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C</w:t>
            </w:r>
          </w:p>
        </w:tc>
        <w:tc>
          <w:tcPr>
            <w:tcW w:w="7049" w:type="dxa"/>
          </w:tcPr>
          <w:p w:rsidR="008959FF" w:rsidRPr="00E9360A" w:rsidRDefault="008959FF" w:rsidP="008959FF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a) </w:t>
            </w:r>
            <w:r w:rsidR="00666F19" w:rsidRPr="00E9360A">
              <w:rPr>
                <w:sz w:val="20"/>
                <w:szCs w:val="20"/>
              </w:rPr>
              <w:t xml:space="preserve">A </w:t>
            </w:r>
            <w:r w:rsidR="00666F19" w:rsidRPr="00E9360A">
              <w:rPr>
                <w:sz w:val="20"/>
                <w:szCs w:val="20"/>
                <w:u w:val="single"/>
              </w:rPr>
              <w:t>eficácia</w:t>
            </w:r>
            <w:r w:rsidR="00666F19" w:rsidRPr="00E9360A">
              <w:rPr>
                <w:sz w:val="20"/>
                <w:szCs w:val="20"/>
              </w:rPr>
              <w:t xml:space="preserve"> mede o grau de atingimento de resultados. Quanto mais eficaz for uma tarefa, melhores os resultados. A máxima eficácia é atingida com o </w:t>
            </w:r>
            <w:r w:rsidR="00177CBB" w:rsidRPr="00E9360A">
              <w:rPr>
                <w:sz w:val="20"/>
                <w:szCs w:val="20"/>
              </w:rPr>
              <w:t>a</w:t>
            </w:r>
            <w:r w:rsidR="00666F19" w:rsidRPr="00E9360A">
              <w:rPr>
                <w:sz w:val="20"/>
                <w:szCs w:val="20"/>
              </w:rPr>
              <w:t>lcance total dos objetivos.</w:t>
            </w:r>
          </w:p>
          <w:p w:rsidR="008959FF" w:rsidRPr="00E9360A" w:rsidRDefault="008959FF" w:rsidP="008959FF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b) </w:t>
            </w:r>
            <w:r w:rsidRPr="00E9360A">
              <w:rPr>
                <w:sz w:val="20"/>
                <w:szCs w:val="20"/>
                <w:u w:val="single"/>
              </w:rPr>
              <w:t>Desvio de quantidade</w:t>
            </w:r>
            <w:r w:rsidR="0077046C" w:rsidRPr="00E9360A">
              <w:rPr>
                <w:sz w:val="20"/>
                <w:szCs w:val="20"/>
                <w:u w:val="single"/>
              </w:rPr>
              <w:t xml:space="preserve"> </w:t>
            </w:r>
            <w:r w:rsidR="0077046C" w:rsidRPr="00E9360A">
              <w:rPr>
                <w:sz w:val="20"/>
                <w:szCs w:val="20"/>
              </w:rPr>
              <w:t>de MO</w:t>
            </w:r>
            <w:r w:rsidRPr="00E9360A">
              <w:rPr>
                <w:sz w:val="20"/>
                <w:szCs w:val="20"/>
              </w:rPr>
              <w:t xml:space="preserve"> = Preço Padrão x (quantidade real</w:t>
            </w:r>
            <w:r w:rsidR="00AC2E2B" w:rsidRPr="00E9360A">
              <w:rPr>
                <w:sz w:val="20"/>
                <w:szCs w:val="20"/>
              </w:rPr>
              <w:t xml:space="preserve"> de mão de obra utilizada</w:t>
            </w:r>
            <w:r w:rsidRPr="00E9360A">
              <w:rPr>
                <w:sz w:val="20"/>
                <w:szCs w:val="20"/>
              </w:rPr>
              <w:t xml:space="preserve"> – quant</w:t>
            </w:r>
            <w:r w:rsidR="00AC2E2B" w:rsidRPr="00E9360A">
              <w:rPr>
                <w:sz w:val="20"/>
                <w:szCs w:val="20"/>
              </w:rPr>
              <w:t>idade padrão</w:t>
            </w:r>
            <w:r w:rsidRPr="00E9360A">
              <w:rPr>
                <w:sz w:val="20"/>
                <w:szCs w:val="20"/>
              </w:rPr>
              <w:t xml:space="preserve">)  </w:t>
            </w:r>
          </w:p>
          <w:p w:rsidR="00AC2E2B" w:rsidRPr="00E9360A" w:rsidRDefault="008959FF" w:rsidP="00AC2E2B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c) </w:t>
            </w:r>
            <w:r w:rsidR="00AC2E2B" w:rsidRPr="00E9360A">
              <w:rPr>
                <w:sz w:val="20"/>
                <w:szCs w:val="20"/>
              </w:rPr>
              <w:t xml:space="preserve">O </w:t>
            </w:r>
            <w:r w:rsidR="00AC2E2B" w:rsidRPr="00E9360A">
              <w:rPr>
                <w:sz w:val="20"/>
                <w:szCs w:val="20"/>
                <w:u w:val="single"/>
              </w:rPr>
              <w:t>desvio de taxa</w:t>
            </w:r>
            <w:r w:rsidR="00AC2E2B" w:rsidRPr="00E9360A">
              <w:rPr>
                <w:sz w:val="20"/>
                <w:szCs w:val="20"/>
              </w:rPr>
              <w:t xml:space="preserve"> (ou preço)</w:t>
            </w:r>
            <w:r w:rsidR="0077046C" w:rsidRPr="00E9360A">
              <w:rPr>
                <w:sz w:val="20"/>
                <w:szCs w:val="20"/>
              </w:rPr>
              <w:t xml:space="preserve"> da mão de obra</w:t>
            </w:r>
            <w:r w:rsidR="00AC2E2B" w:rsidRPr="00E9360A">
              <w:rPr>
                <w:sz w:val="20"/>
                <w:szCs w:val="20"/>
              </w:rPr>
              <w:t xml:space="preserve"> mostra a diferença entre a taxa real ou efetiva (Te) e a taxa padrão (</w:t>
            </w:r>
            <w:proofErr w:type="spellStart"/>
            <w:r w:rsidR="00AC2E2B" w:rsidRPr="00E9360A">
              <w:rPr>
                <w:sz w:val="20"/>
                <w:szCs w:val="20"/>
              </w:rPr>
              <w:t>Tp</w:t>
            </w:r>
            <w:proofErr w:type="spellEnd"/>
            <w:r w:rsidR="00AC2E2B" w:rsidRPr="00E9360A">
              <w:rPr>
                <w:sz w:val="20"/>
                <w:szCs w:val="20"/>
              </w:rPr>
              <w:t>)</w:t>
            </w:r>
            <w:r w:rsidR="0077046C" w:rsidRPr="00E9360A">
              <w:rPr>
                <w:sz w:val="20"/>
                <w:szCs w:val="20"/>
              </w:rPr>
              <w:t xml:space="preserve"> = (Te-</w:t>
            </w:r>
            <w:proofErr w:type="spellStart"/>
            <w:r w:rsidR="0077046C" w:rsidRPr="00E9360A">
              <w:rPr>
                <w:sz w:val="20"/>
                <w:szCs w:val="20"/>
              </w:rPr>
              <w:t>Tp</w:t>
            </w:r>
            <w:proofErr w:type="spellEnd"/>
            <w:r w:rsidR="0077046C" w:rsidRPr="00E9360A">
              <w:rPr>
                <w:sz w:val="20"/>
                <w:szCs w:val="20"/>
              </w:rPr>
              <w:t>) x quantidade padrão de MO</w:t>
            </w:r>
          </w:p>
          <w:p w:rsidR="0077046C" w:rsidRPr="00E9360A" w:rsidRDefault="0077046C" w:rsidP="0077046C">
            <w:pPr>
              <w:pStyle w:val="PargrafodaLista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Com o aumento de salários a taxa padrão será diferente da efetiva, logo, haverá um desvio de taxa </w:t>
            </w:r>
          </w:p>
          <w:p w:rsidR="00666F19" w:rsidRPr="00E9360A" w:rsidRDefault="008959FF" w:rsidP="00AC2E2B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d)</w:t>
            </w:r>
            <w:r w:rsidR="00AC2E2B" w:rsidRPr="00E9360A">
              <w:rPr>
                <w:sz w:val="20"/>
                <w:szCs w:val="20"/>
              </w:rPr>
              <w:t xml:space="preserve"> O desvio de quantidade surge quando a quantidade da mão de obra utilizada é diferente do padrão definido e indica a </w:t>
            </w:r>
            <w:r w:rsidR="00AC2E2B" w:rsidRPr="00E9360A">
              <w:rPr>
                <w:sz w:val="20"/>
                <w:szCs w:val="20"/>
                <w:u w:val="single"/>
              </w:rPr>
              <w:t>eficiência</w:t>
            </w:r>
            <w:r w:rsidR="00AC2E2B" w:rsidRPr="00E9360A">
              <w:rPr>
                <w:sz w:val="20"/>
                <w:szCs w:val="20"/>
              </w:rPr>
              <w:t xml:space="preserve"> da mão de obra, ou seja, o desvio de quantidade mede a eficiência.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13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B</w:t>
            </w:r>
          </w:p>
        </w:tc>
        <w:tc>
          <w:tcPr>
            <w:tcW w:w="7049" w:type="dxa"/>
          </w:tcPr>
          <w:p w:rsidR="00CA60DA" w:rsidRPr="00E9360A" w:rsidRDefault="002D261F" w:rsidP="00CA60DA">
            <w:pPr>
              <w:rPr>
                <w:sz w:val="20"/>
                <w:szCs w:val="20"/>
                <w:lang w:val="pt-BR"/>
              </w:rPr>
            </w:pPr>
            <w:r w:rsidRPr="00E9360A">
              <w:rPr>
                <w:bCs/>
                <w:sz w:val="20"/>
                <w:szCs w:val="20"/>
                <w:lang w:val="pt-BR"/>
              </w:rPr>
              <w:t>a)</w:t>
            </w:r>
            <w:r w:rsidRPr="00E9360A">
              <w:rPr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CA60DA" w:rsidRPr="00E9360A">
              <w:rPr>
                <w:b/>
                <w:bCs/>
                <w:sz w:val="20"/>
                <w:szCs w:val="20"/>
                <w:lang w:val="pt-BR"/>
              </w:rPr>
              <w:t>Indicador</w:t>
            </w:r>
            <w:r w:rsidR="00CA60DA" w:rsidRPr="00E9360A">
              <w:rPr>
                <w:sz w:val="20"/>
                <w:szCs w:val="20"/>
                <w:lang w:val="pt-BR"/>
              </w:rPr>
              <w:t>, forma de acompanhar o sucesso do alcance do objeto, devendo ser medido e acompanhado para sinalizar possíveis desvios de rota.</w:t>
            </w:r>
          </w:p>
          <w:p w:rsidR="00CA60DA" w:rsidRPr="00E9360A" w:rsidRDefault="002D261F" w:rsidP="00CA60DA">
            <w:pPr>
              <w:rPr>
                <w:sz w:val="20"/>
                <w:szCs w:val="20"/>
                <w:lang w:val="pt-BR"/>
              </w:rPr>
            </w:pPr>
            <w:r w:rsidRPr="00E9360A">
              <w:rPr>
                <w:bCs/>
                <w:sz w:val="20"/>
                <w:szCs w:val="20"/>
                <w:lang w:val="pt-BR"/>
              </w:rPr>
              <w:t>b)</w:t>
            </w:r>
            <w:r w:rsidRPr="00E9360A">
              <w:rPr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CA60DA" w:rsidRPr="00E9360A">
              <w:rPr>
                <w:b/>
                <w:bCs/>
                <w:sz w:val="20"/>
                <w:szCs w:val="20"/>
                <w:lang w:val="pt-BR"/>
              </w:rPr>
              <w:t>Meta</w:t>
            </w:r>
            <w:r w:rsidR="00CA60DA" w:rsidRPr="00E9360A">
              <w:rPr>
                <w:sz w:val="20"/>
                <w:szCs w:val="20"/>
                <w:lang w:val="pt-BR"/>
              </w:rPr>
              <w:t>, o nível de desempenho esperado, que, ao ser comparada com o indicador, mostra o que e quanto precisa ser melhorado.</w:t>
            </w:r>
          </w:p>
          <w:p w:rsidR="0022651C" w:rsidRPr="00E9360A" w:rsidRDefault="002D261F" w:rsidP="007B0469">
            <w:pPr>
              <w:rPr>
                <w:sz w:val="20"/>
                <w:szCs w:val="20"/>
                <w:lang w:val="pt-BR"/>
              </w:rPr>
            </w:pPr>
            <w:r w:rsidRPr="00E9360A">
              <w:rPr>
                <w:sz w:val="20"/>
                <w:szCs w:val="20"/>
                <w:lang w:val="pt-BR"/>
              </w:rPr>
              <w:t xml:space="preserve">c) </w:t>
            </w:r>
            <w:r w:rsidR="00CA60DA" w:rsidRPr="00E9360A">
              <w:rPr>
                <w:sz w:val="20"/>
                <w:szCs w:val="20"/>
                <w:lang w:val="pt-BR"/>
              </w:rPr>
              <w:t xml:space="preserve">Os </w:t>
            </w:r>
            <w:r w:rsidR="00CA60DA" w:rsidRPr="00E9360A">
              <w:rPr>
                <w:b/>
                <w:sz w:val="20"/>
                <w:szCs w:val="20"/>
                <w:lang w:val="pt-BR"/>
              </w:rPr>
              <w:t>objetivos estratégicos</w:t>
            </w:r>
            <w:r w:rsidR="00CA60DA" w:rsidRPr="00E9360A">
              <w:rPr>
                <w:sz w:val="20"/>
                <w:szCs w:val="20"/>
                <w:lang w:val="pt-BR"/>
              </w:rPr>
              <w:t xml:space="preserve"> irão refletir qual será o foco da organização em cada uma das 4 perspectivas: financeira, cliente, interna ou de processos, de aprendizagem e crescimento.</w:t>
            </w:r>
          </w:p>
          <w:p w:rsidR="002D261F" w:rsidRPr="00E9360A" w:rsidRDefault="002D261F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d) As </w:t>
            </w:r>
            <w:r w:rsidRPr="00E9360A">
              <w:rPr>
                <w:b/>
                <w:sz w:val="20"/>
                <w:szCs w:val="20"/>
              </w:rPr>
              <w:t>iniciativas estratégicas</w:t>
            </w:r>
            <w:r w:rsidRPr="00E9360A">
              <w:rPr>
                <w:sz w:val="20"/>
                <w:szCs w:val="20"/>
              </w:rPr>
              <w:t xml:space="preserve"> são as atividades a desenvolver para atingir os objetivos estratégicos e funcionam como ponto de ligação entre a estratégia e a componente operacional da organização.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14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D</w:t>
            </w:r>
          </w:p>
        </w:tc>
        <w:tc>
          <w:tcPr>
            <w:tcW w:w="7049" w:type="dxa"/>
          </w:tcPr>
          <w:p w:rsidR="0022651C" w:rsidRPr="00E9360A" w:rsidRDefault="008C1FD3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Esta depreciação entraria no orçamento de produção.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15</w:t>
            </w:r>
          </w:p>
        </w:tc>
        <w:tc>
          <w:tcPr>
            <w:tcW w:w="906" w:type="dxa"/>
          </w:tcPr>
          <w:p w:rsidR="0022651C" w:rsidRPr="00ED075F" w:rsidRDefault="001B6EEB" w:rsidP="007B0469">
            <w:pPr>
              <w:jc w:val="center"/>
              <w:rPr>
                <w:highlight w:val="yellow"/>
              </w:rPr>
            </w:pPr>
            <w:r w:rsidRPr="00C81546">
              <w:t>B</w:t>
            </w:r>
          </w:p>
        </w:tc>
        <w:tc>
          <w:tcPr>
            <w:tcW w:w="7049" w:type="dxa"/>
          </w:tcPr>
          <w:p w:rsidR="0022651C" w:rsidRPr="00E9360A" w:rsidRDefault="00363F2B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Os ativos intangíveis com vida útil indefinida devem ser amortizados num período máximo de 10 anos, conforme §105 da NCRF 6 e sujeitos a testes de imparidade conforme respetivo §107.</w:t>
            </w:r>
            <w:r w:rsidRPr="00E9360A">
              <w:rPr>
                <w:sz w:val="20"/>
                <w:szCs w:val="20"/>
              </w:rPr>
              <w:br/>
              <w:t>Porém, do ponto de vista fiscal os ativos intangíveis com vida útil indefinida previstos no n.º 1 do art.º 45º-A do CIRC, com exceção do previsto no respetivo n.º 4, é aceite como gasto fiscal, em partes iguais, durante os primeiros 20 períodos de tributação após o reconhecimento inicial, o custo de aquisição dos mesmos</w:t>
            </w:r>
            <w:r w:rsidR="00FB6067" w:rsidRPr="00E9360A">
              <w:rPr>
                <w:sz w:val="20"/>
                <w:szCs w:val="20"/>
              </w:rPr>
              <w:t xml:space="preserve">: 50.000/20= 2.500€ </w:t>
            </w:r>
            <w:r w:rsidR="00B41F66" w:rsidRPr="00E9360A">
              <w:rPr>
                <w:sz w:val="20"/>
                <w:szCs w:val="20"/>
              </w:rPr>
              <w:t>v</w:t>
            </w:r>
            <w:r w:rsidR="00FB6067" w:rsidRPr="00E9360A">
              <w:rPr>
                <w:sz w:val="20"/>
                <w:szCs w:val="20"/>
              </w:rPr>
              <w:t>alor aceite fiscalmente</w:t>
            </w:r>
            <w:r w:rsidR="00B41F66" w:rsidRPr="00E9360A">
              <w:rPr>
                <w:sz w:val="20"/>
                <w:szCs w:val="20"/>
              </w:rPr>
              <w:t>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16</w:t>
            </w:r>
          </w:p>
        </w:tc>
        <w:tc>
          <w:tcPr>
            <w:tcW w:w="906" w:type="dxa"/>
          </w:tcPr>
          <w:p w:rsidR="0022651C" w:rsidRPr="00ED075F" w:rsidRDefault="001B6EEB" w:rsidP="007B0469">
            <w:pPr>
              <w:jc w:val="center"/>
              <w:rPr>
                <w:highlight w:val="yellow"/>
              </w:rPr>
            </w:pPr>
            <w:r w:rsidRPr="004039A1">
              <w:t>A</w:t>
            </w:r>
          </w:p>
        </w:tc>
        <w:tc>
          <w:tcPr>
            <w:tcW w:w="7049" w:type="dxa"/>
          </w:tcPr>
          <w:p w:rsidR="0022651C" w:rsidRPr="00E9360A" w:rsidRDefault="00ED075F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NCRF 6</w:t>
            </w:r>
            <w:r w:rsidR="004039A1" w:rsidRPr="00E9360A">
              <w:rPr>
                <w:sz w:val="20"/>
                <w:szCs w:val="20"/>
              </w:rPr>
              <w:t xml:space="preserve"> § </w:t>
            </w:r>
            <w:r w:rsidRPr="00E9360A">
              <w:rPr>
                <w:sz w:val="20"/>
                <w:szCs w:val="20"/>
              </w:rPr>
              <w:t xml:space="preserve">61: </w:t>
            </w:r>
            <w:r w:rsidR="004039A1" w:rsidRPr="00E9360A">
              <w:rPr>
                <w:sz w:val="20"/>
                <w:szCs w:val="20"/>
              </w:rPr>
              <w:t>“</w:t>
            </w:r>
            <w:r w:rsidRPr="00E9360A">
              <w:rPr>
                <w:sz w:val="20"/>
                <w:szCs w:val="20"/>
              </w:rPr>
              <w:t xml:space="preserve">As </w:t>
            </w:r>
            <w:proofErr w:type="gramStart"/>
            <w:r w:rsidRPr="00E9360A">
              <w:rPr>
                <w:sz w:val="20"/>
                <w:szCs w:val="20"/>
              </w:rPr>
              <w:t>marcas,...</w:t>
            </w:r>
            <w:proofErr w:type="gramEnd"/>
            <w:r w:rsidRPr="00E9360A">
              <w:rPr>
                <w:sz w:val="20"/>
                <w:szCs w:val="20"/>
              </w:rPr>
              <w:t>, gerados internamente não devem ser reconhecidos como ativos intangíveis.</w:t>
            </w:r>
            <w:r w:rsidR="004039A1" w:rsidRPr="00E9360A">
              <w:rPr>
                <w:sz w:val="20"/>
                <w:szCs w:val="20"/>
              </w:rPr>
              <w:t>”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17</w:t>
            </w:r>
          </w:p>
        </w:tc>
        <w:tc>
          <w:tcPr>
            <w:tcW w:w="906" w:type="dxa"/>
          </w:tcPr>
          <w:p w:rsidR="0022651C" w:rsidRPr="00771FFA" w:rsidRDefault="001B6EEB" w:rsidP="007B0469">
            <w:pPr>
              <w:jc w:val="center"/>
            </w:pPr>
            <w:r w:rsidRPr="00771FFA">
              <w:t>A</w:t>
            </w:r>
          </w:p>
        </w:tc>
        <w:tc>
          <w:tcPr>
            <w:tcW w:w="7049" w:type="dxa"/>
          </w:tcPr>
          <w:p w:rsidR="0022651C" w:rsidRPr="00E9360A" w:rsidRDefault="00276DF9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Art.º</w:t>
            </w:r>
            <w:r w:rsidR="00ED075F" w:rsidRPr="00E9360A">
              <w:rPr>
                <w:sz w:val="20"/>
                <w:szCs w:val="20"/>
              </w:rPr>
              <w:t xml:space="preserve"> 3º nº 3 f) e </w:t>
            </w:r>
            <w:r w:rsidRPr="00E9360A">
              <w:rPr>
                <w:sz w:val="20"/>
                <w:szCs w:val="20"/>
              </w:rPr>
              <w:t>Art.º</w:t>
            </w:r>
            <w:r w:rsidR="00ED075F" w:rsidRPr="00E9360A">
              <w:rPr>
                <w:sz w:val="20"/>
                <w:szCs w:val="20"/>
              </w:rPr>
              <w:t xml:space="preserve"> 2º </w:t>
            </w:r>
            <w:r w:rsidR="00771FFA" w:rsidRPr="00E9360A">
              <w:rPr>
                <w:sz w:val="20"/>
                <w:szCs w:val="20"/>
              </w:rPr>
              <w:t>nº1</w:t>
            </w:r>
            <w:r w:rsidR="00ED075F" w:rsidRPr="00E9360A">
              <w:rPr>
                <w:sz w:val="20"/>
                <w:szCs w:val="20"/>
              </w:rPr>
              <w:t xml:space="preserve"> b) CIS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18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 w:rsidRPr="00276DF9">
              <w:t>B</w:t>
            </w:r>
          </w:p>
        </w:tc>
        <w:tc>
          <w:tcPr>
            <w:tcW w:w="7049" w:type="dxa"/>
          </w:tcPr>
          <w:p w:rsidR="0022651C" w:rsidRPr="00E9360A" w:rsidRDefault="00276DF9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Art.º</w:t>
            </w:r>
            <w:r w:rsidR="00ED075F" w:rsidRPr="00E9360A">
              <w:rPr>
                <w:sz w:val="20"/>
                <w:szCs w:val="20"/>
              </w:rPr>
              <w:t xml:space="preserve"> 2º nº 3 a) CIMT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19</w:t>
            </w:r>
          </w:p>
        </w:tc>
        <w:tc>
          <w:tcPr>
            <w:tcW w:w="906" w:type="dxa"/>
            <w:shd w:val="clear" w:color="auto" w:fill="auto"/>
          </w:tcPr>
          <w:p w:rsidR="0022651C" w:rsidRDefault="001B6EEB" w:rsidP="007B0469">
            <w:pPr>
              <w:jc w:val="center"/>
            </w:pPr>
            <w:r w:rsidRPr="00276DF9">
              <w:t>A</w:t>
            </w:r>
          </w:p>
        </w:tc>
        <w:tc>
          <w:tcPr>
            <w:tcW w:w="7049" w:type="dxa"/>
          </w:tcPr>
          <w:p w:rsidR="0022651C" w:rsidRPr="00E9360A" w:rsidRDefault="00F4529D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 xml:space="preserve">É dedutível em 50% o IVA respeitante à </w:t>
            </w:r>
            <w:r w:rsidR="00276DF9" w:rsidRPr="00E9360A">
              <w:rPr>
                <w:sz w:val="20"/>
                <w:szCs w:val="20"/>
              </w:rPr>
              <w:t>a</w:t>
            </w:r>
            <w:r w:rsidRPr="00E9360A">
              <w:rPr>
                <w:sz w:val="20"/>
                <w:szCs w:val="20"/>
              </w:rPr>
              <w:t>quisição de gasóleo, não sendo dedutível o IVA referente às rendas e às despesas de reparação.</w:t>
            </w:r>
            <w:r w:rsidRPr="00E9360A">
              <w:rPr>
                <w:sz w:val="20"/>
                <w:szCs w:val="20"/>
              </w:rPr>
              <w:br/>
              <w:t xml:space="preserve">Baseei-me no </w:t>
            </w:r>
            <w:r w:rsidR="00276DF9" w:rsidRPr="00E9360A">
              <w:rPr>
                <w:sz w:val="20"/>
                <w:szCs w:val="20"/>
              </w:rPr>
              <w:t>art.º</w:t>
            </w:r>
            <w:r w:rsidRPr="00E9360A">
              <w:rPr>
                <w:sz w:val="20"/>
                <w:szCs w:val="20"/>
              </w:rPr>
              <w:t xml:space="preserve"> 21º nº 1 a) e b) CIVA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20</w:t>
            </w:r>
          </w:p>
        </w:tc>
        <w:tc>
          <w:tcPr>
            <w:tcW w:w="906" w:type="dxa"/>
          </w:tcPr>
          <w:p w:rsidR="0022651C" w:rsidRPr="00F37B63" w:rsidRDefault="001B6EEB" w:rsidP="007B0469">
            <w:pPr>
              <w:jc w:val="center"/>
              <w:rPr>
                <w:highlight w:val="yellow"/>
              </w:rPr>
            </w:pPr>
            <w:r w:rsidRPr="00EE4338">
              <w:t>D</w:t>
            </w:r>
          </w:p>
        </w:tc>
        <w:tc>
          <w:tcPr>
            <w:tcW w:w="7049" w:type="dxa"/>
          </w:tcPr>
          <w:p w:rsidR="0022651C" w:rsidRPr="00E9360A" w:rsidRDefault="00EE4338" w:rsidP="007B0469">
            <w:pPr>
              <w:rPr>
                <w:sz w:val="20"/>
                <w:szCs w:val="20"/>
              </w:rPr>
            </w:pPr>
            <w:r w:rsidRPr="00EE4338">
              <w:rPr>
                <w:sz w:val="20"/>
                <w:szCs w:val="20"/>
              </w:rPr>
              <w:t xml:space="preserve">Regra geral da localização das prestações de serviços </w:t>
            </w:r>
            <w:proofErr w:type="gramStart"/>
            <w:r w:rsidRPr="00EE4338">
              <w:rPr>
                <w:sz w:val="20"/>
                <w:szCs w:val="20"/>
              </w:rPr>
              <w:t xml:space="preserve">( </w:t>
            </w:r>
            <w:proofErr w:type="spellStart"/>
            <w:r w:rsidRPr="00EE4338">
              <w:rPr>
                <w:sz w:val="20"/>
                <w:szCs w:val="20"/>
              </w:rPr>
              <w:t>art</w:t>
            </w:r>
            <w:bookmarkStart w:id="0" w:name="_GoBack"/>
            <w:bookmarkEnd w:id="0"/>
            <w:proofErr w:type="spellEnd"/>
            <w:r w:rsidRPr="00EE4338">
              <w:rPr>
                <w:sz w:val="20"/>
                <w:szCs w:val="20"/>
              </w:rPr>
              <w:t>.</w:t>
            </w:r>
            <w:proofErr w:type="gramEnd"/>
            <w:r w:rsidRPr="00EE4338">
              <w:rPr>
                <w:sz w:val="20"/>
                <w:szCs w:val="20"/>
              </w:rPr>
              <w:t xml:space="preserve"> 6º n.º 6 a) do CIVA), serviço prestado por um SP espanhol a um SP português - operação realiza-se no país do adquirente, logo PT.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21</w:t>
            </w:r>
          </w:p>
        </w:tc>
        <w:tc>
          <w:tcPr>
            <w:tcW w:w="906" w:type="dxa"/>
            <w:shd w:val="clear" w:color="auto" w:fill="auto"/>
          </w:tcPr>
          <w:p w:rsidR="0022651C" w:rsidRPr="007E2267" w:rsidRDefault="001B6EEB" w:rsidP="007B0469">
            <w:pPr>
              <w:jc w:val="center"/>
            </w:pPr>
            <w:r w:rsidRPr="007E2267">
              <w:t>B</w:t>
            </w:r>
          </w:p>
        </w:tc>
        <w:tc>
          <w:tcPr>
            <w:tcW w:w="7049" w:type="dxa"/>
          </w:tcPr>
          <w:p w:rsidR="007E2267" w:rsidRPr="00E9360A" w:rsidRDefault="00F4529D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NCRF 7 paragrafo 31</w:t>
            </w:r>
            <w:r w:rsidR="007E2267" w:rsidRPr="00E9360A">
              <w:rPr>
                <w:sz w:val="20"/>
                <w:szCs w:val="20"/>
              </w:rPr>
              <w:t xml:space="preserve"> </w:t>
            </w:r>
          </w:p>
          <w:p w:rsidR="0022651C" w:rsidRPr="00E9360A" w:rsidRDefault="007E2267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“Após o reconhecimento como ativo</w:t>
            </w:r>
            <w:r w:rsidR="006F3206" w:rsidRPr="00E9360A">
              <w:rPr>
                <w:sz w:val="20"/>
                <w:szCs w:val="20"/>
              </w:rPr>
              <w:t xml:space="preserve"> </w:t>
            </w:r>
            <w:r w:rsidRPr="00E9360A">
              <w:rPr>
                <w:sz w:val="20"/>
                <w:szCs w:val="20"/>
              </w:rPr>
              <w:t>….</w:t>
            </w:r>
            <w:r w:rsidR="006F3206" w:rsidRPr="00E9360A">
              <w:rPr>
                <w:sz w:val="20"/>
                <w:szCs w:val="20"/>
              </w:rPr>
              <w:t xml:space="preserve"> </w:t>
            </w:r>
            <w:r w:rsidRPr="00E9360A">
              <w:rPr>
                <w:sz w:val="20"/>
                <w:szCs w:val="20"/>
              </w:rPr>
              <w:t>deve ser escriturado por uma quantia revalorizada, que é o seu justo valor</w:t>
            </w:r>
            <w:proofErr w:type="gramStart"/>
            <w:r w:rsidRPr="00E9360A">
              <w:rPr>
                <w:sz w:val="20"/>
                <w:szCs w:val="20"/>
              </w:rPr>
              <w:t xml:space="preserve"> ….</w:t>
            </w:r>
            <w:proofErr w:type="gramEnd"/>
            <w:r w:rsidRPr="00E9360A">
              <w:rPr>
                <w:sz w:val="20"/>
                <w:szCs w:val="20"/>
              </w:rPr>
              <w:t>.”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22</w:t>
            </w:r>
          </w:p>
        </w:tc>
        <w:tc>
          <w:tcPr>
            <w:tcW w:w="906" w:type="dxa"/>
            <w:shd w:val="clear" w:color="auto" w:fill="auto"/>
          </w:tcPr>
          <w:p w:rsidR="0022651C" w:rsidRPr="00F37B63" w:rsidRDefault="001B6EEB" w:rsidP="007B0469">
            <w:pPr>
              <w:jc w:val="center"/>
              <w:rPr>
                <w:highlight w:val="yellow"/>
              </w:rPr>
            </w:pPr>
            <w:r w:rsidRPr="006F3206">
              <w:t>C</w:t>
            </w:r>
          </w:p>
        </w:tc>
        <w:tc>
          <w:tcPr>
            <w:tcW w:w="7049" w:type="dxa"/>
          </w:tcPr>
          <w:p w:rsidR="0022651C" w:rsidRPr="00E9360A" w:rsidRDefault="005558C9" w:rsidP="007B04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</w:t>
            </w:r>
            <w:r w:rsidR="00F94C33" w:rsidRPr="00E9360A">
              <w:rPr>
                <w:sz w:val="20"/>
                <w:szCs w:val="20"/>
              </w:rPr>
              <w:t>Não há qualquer rédito a reconhecer em dezembro porque até á data da entrega (janeiro) a mercadoria ainda está á responsabilidade da JKL</w:t>
            </w:r>
            <w:r w:rsidR="006F3206" w:rsidRPr="00E9360A">
              <w:rPr>
                <w:sz w:val="20"/>
                <w:szCs w:val="20"/>
              </w:rPr>
              <w:t xml:space="preserve"> (</w:t>
            </w:r>
            <w:r w:rsidR="006F3206" w:rsidRPr="00E9360A">
              <w:rPr>
                <w:sz w:val="20"/>
                <w:szCs w:val="20"/>
              </w:rPr>
              <w:t>NCRF 20 paragrafo 14</w:t>
            </w:r>
            <w:r w:rsidR="006F3206" w:rsidRPr="00E9360A">
              <w:rPr>
                <w:sz w:val="20"/>
                <w:szCs w:val="20"/>
              </w:rPr>
              <w:t>)</w:t>
            </w:r>
          </w:p>
          <w:p w:rsidR="00F94C33" w:rsidRPr="00E9360A" w:rsidRDefault="005558C9" w:rsidP="006F3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</w:t>
            </w:r>
            <w:r w:rsidR="00F94C33" w:rsidRPr="00E9360A">
              <w:rPr>
                <w:sz w:val="20"/>
                <w:szCs w:val="20"/>
              </w:rPr>
              <w:t xml:space="preserve">O CMVMC é de </w:t>
            </w:r>
            <w:r w:rsidR="006F3206" w:rsidRPr="00E9360A">
              <w:rPr>
                <w:sz w:val="20"/>
                <w:szCs w:val="20"/>
              </w:rPr>
              <w:t>200</w:t>
            </w:r>
            <w:r w:rsidR="006F3206" w:rsidRPr="00E9360A">
              <w:rPr>
                <w:sz w:val="20"/>
                <w:szCs w:val="20"/>
              </w:rPr>
              <w:t xml:space="preserve"> x </w:t>
            </w:r>
            <w:r w:rsidR="006F3206" w:rsidRPr="00E9360A">
              <w:rPr>
                <w:sz w:val="20"/>
                <w:szCs w:val="20"/>
              </w:rPr>
              <w:t>5= 1000€</w:t>
            </w:r>
            <w:r w:rsidR="006F3206" w:rsidRPr="00E9360A">
              <w:rPr>
                <w:sz w:val="20"/>
                <w:szCs w:val="20"/>
              </w:rPr>
              <w:t xml:space="preserve"> - O</w:t>
            </w:r>
            <w:r w:rsidR="006F3206" w:rsidRPr="00E9360A">
              <w:rPr>
                <w:sz w:val="20"/>
                <w:szCs w:val="20"/>
              </w:rPr>
              <w:t xml:space="preserve"> desconto foi financeiro</w:t>
            </w:r>
            <w:r>
              <w:rPr>
                <w:sz w:val="20"/>
                <w:szCs w:val="20"/>
              </w:rPr>
              <w:t xml:space="preserve"> (conta 78), não altera o custo da mercadoria.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proofErr w:type="spellStart"/>
            <w:r>
              <w:t>2</w:t>
            </w:r>
            <w:proofErr w:type="spellEnd"/>
            <w:r>
              <w:t>3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B</w:t>
            </w:r>
          </w:p>
        </w:tc>
        <w:tc>
          <w:tcPr>
            <w:tcW w:w="7049" w:type="dxa"/>
          </w:tcPr>
          <w:p w:rsidR="0022651C" w:rsidRPr="00E9360A" w:rsidRDefault="00196984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Art.º 73º b) EOCC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24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C</w:t>
            </w:r>
          </w:p>
        </w:tc>
        <w:tc>
          <w:tcPr>
            <w:tcW w:w="7049" w:type="dxa"/>
          </w:tcPr>
          <w:p w:rsidR="0022651C" w:rsidRPr="00E9360A" w:rsidRDefault="00266803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Art.º 89º nº4 d) EOCC</w:t>
            </w:r>
          </w:p>
        </w:tc>
      </w:tr>
      <w:tr w:rsidR="0022651C" w:rsidRPr="00E9360A" w:rsidTr="00E9360A">
        <w:trPr>
          <w:gridAfter w:val="1"/>
          <w:wAfter w:w="425" w:type="dxa"/>
        </w:trPr>
        <w:tc>
          <w:tcPr>
            <w:tcW w:w="971" w:type="dxa"/>
          </w:tcPr>
          <w:p w:rsidR="0022651C" w:rsidRDefault="0022651C" w:rsidP="007B0469">
            <w:pPr>
              <w:jc w:val="center"/>
            </w:pPr>
            <w:r>
              <w:t>25</w:t>
            </w:r>
          </w:p>
        </w:tc>
        <w:tc>
          <w:tcPr>
            <w:tcW w:w="906" w:type="dxa"/>
          </w:tcPr>
          <w:p w:rsidR="0022651C" w:rsidRDefault="001B6EEB" w:rsidP="007B0469">
            <w:pPr>
              <w:jc w:val="center"/>
            </w:pPr>
            <w:r>
              <w:t>A</w:t>
            </w:r>
          </w:p>
        </w:tc>
        <w:tc>
          <w:tcPr>
            <w:tcW w:w="7049" w:type="dxa"/>
          </w:tcPr>
          <w:p w:rsidR="0022651C" w:rsidRPr="00E9360A" w:rsidRDefault="0045261D" w:rsidP="007B0469">
            <w:pPr>
              <w:rPr>
                <w:sz w:val="20"/>
                <w:szCs w:val="20"/>
              </w:rPr>
            </w:pPr>
            <w:r w:rsidRPr="00E9360A">
              <w:rPr>
                <w:sz w:val="20"/>
                <w:szCs w:val="20"/>
              </w:rPr>
              <w:t>Art.º 54º l) EOCC</w:t>
            </w:r>
          </w:p>
        </w:tc>
      </w:tr>
    </w:tbl>
    <w:p w:rsidR="0022651C" w:rsidRDefault="0022651C"/>
    <w:p w:rsidR="0022651C" w:rsidRDefault="0022651C"/>
    <w:sectPr w:rsidR="0022651C" w:rsidSect="007B0469">
      <w:headerReference w:type="default" r:id="rId9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230" w:rsidRDefault="00881230" w:rsidP="0022651C">
      <w:pPr>
        <w:spacing w:after="0" w:line="240" w:lineRule="auto"/>
      </w:pPr>
      <w:r>
        <w:separator/>
      </w:r>
    </w:p>
  </w:endnote>
  <w:endnote w:type="continuationSeparator" w:id="0">
    <w:p w:rsidR="00881230" w:rsidRDefault="00881230" w:rsidP="00226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230" w:rsidRDefault="00881230" w:rsidP="0022651C">
      <w:pPr>
        <w:spacing w:after="0" w:line="240" w:lineRule="auto"/>
      </w:pPr>
      <w:r>
        <w:separator/>
      </w:r>
    </w:p>
  </w:footnote>
  <w:footnote w:type="continuationSeparator" w:id="0">
    <w:p w:rsidR="00881230" w:rsidRDefault="00881230" w:rsidP="00226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51C" w:rsidRDefault="0022651C" w:rsidP="0022651C">
    <w:pPr>
      <w:pStyle w:val="Ttulo2"/>
    </w:pPr>
    <w:r>
      <w:t>Exame 30 março 2019 – versão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96687A"/>
    <w:multiLevelType w:val="hybridMultilevel"/>
    <w:tmpl w:val="B85AF3E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27BAC"/>
    <w:multiLevelType w:val="hybridMultilevel"/>
    <w:tmpl w:val="83B2B07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51C"/>
    <w:rsid w:val="000021B8"/>
    <w:rsid w:val="00013C06"/>
    <w:rsid w:val="00017E2F"/>
    <w:rsid w:val="00177CBB"/>
    <w:rsid w:val="00196984"/>
    <w:rsid w:val="001B6EEB"/>
    <w:rsid w:val="00216CD2"/>
    <w:rsid w:val="00225BC2"/>
    <w:rsid w:val="0022651C"/>
    <w:rsid w:val="0023133A"/>
    <w:rsid w:val="00266803"/>
    <w:rsid w:val="00276DF9"/>
    <w:rsid w:val="0028606B"/>
    <w:rsid w:val="002901A1"/>
    <w:rsid w:val="002B2438"/>
    <w:rsid w:val="002D261F"/>
    <w:rsid w:val="002F65F6"/>
    <w:rsid w:val="003239B4"/>
    <w:rsid w:val="00345527"/>
    <w:rsid w:val="00363F2B"/>
    <w:rsid w:val="003D0AA1"/>
    <w:rsid w:val="004039A1"/>
    <w:rsid w:val="00426837"/>
    <w:rsid w:val="00447DAD"/>
    <w:rsid w:val="0045261D"/>
    <w:rsid w:val="00462425"/>
    <w:rsid w:val="00493B5D"/>
    <w:rsid w:val="004B553D"/>
    <w:rsid w:val="004C3713"/>
    <w:rsid w:val="004F3984"/>
    <w:rsid w:val="00530A1C"/>
    <w:rsid w:val="005558C9"/>
    <w:rsid w:val="00555FDD"/>
    <w:rsid w:val="0058253A"/>
    <w:rsid w:val="0061477D"/>
    <w:rsid w:val="0061768B"/>
    <w:rsid w:val="00666F19"/>
    <w:rsid w:val="006A661C"/>
    <w:rsid w:val="006F3206"/>
    <w:rsid w:val="0077046C"/>
    <w:rsid w:val="00771FFA"/>
    <w:rsid w:val="00796692"/>
    <w:rsid w:val="007B0469"/>
    <w:rsid w:val="007E2267"/>
    <w:rsid w:val="007F55F2"/>
    <w:rsid w:val="00814FA8"/>
    <w:rsid w:val="00881230"/>
    <w:rsid w:val="00894111"/>
    <w:rsid w:val="008959FF"/>
    <w:rsid w:val="008B385C"/>
    <w:rsid w:val="008C1FD3"/>
    <w:rsid w:val="00916B31"/>
    <w:rsid w:val="00A15D0A"/>
    <w:rsid w:val="00A51016"/>
    <w:rsid w:val="00A77FDD"/>
    <w:rsid w:val="00A83123"/>
    <w:rsid w:val="00AC2E2B"/>
    <w:rsid w:val="00AD2243"/>
    <w:rsid w:val="00B41F66"/>
    <w:rsid w:val="00C3615B"/>
    <w:rsid w:val="00C65530"/>
    <w:rsid w:val="00C81546"/>
    <w:rsid w:val="00CA60DA"/>
    <w:rsid w:val="00DD609E"/>
    <w:rsid w:val="00DE0512"/>
    <w:rsid w:val="00DE71A7"/>
    <w:rsid w:val="00E3490E"/>
    <w:rsid w:val="00E645EB"/>
    <w:rsid w:val="00E72AF7"/>
    <w:rsid w:val="00E9360A"/>
    <w:rsid w:val="00EC3860"/>
    <w:rsid w:val="00ED075F"/>
    <w:rsid w:val="00EE4338"/>
    <w:rsid w:val="00F37B63"/>
    <w:rsid w:val="00F4529D"/>
    <w:rsid w:val="00F8219F"/>
    <w:rsid w:val="00F94C33"/>
    <w:rsid w:val="00FB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11D2"/>
  <w15:chartTrackingRefBased/>
  <w15:docId w15:val="{56A28E75-1C81-4334-9A97-83365F992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530A1C"/>
    <w:pPr>
      <w:keepNext/>
      <w:keepLines/>
      <w:spacing w:before="480" w:after="120" w:line="360" w:lineRule="auto"/>
      <w:jc w:val="both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arter">
    <w:name w:val="Título 2 Caráter"/>
    <w:basedOn w:val="Tipodeletrapredefinidodopargrafo"/>
    <w:link w:val="Ttulo2"/>
    <w:uiPriority w:val="9"/>
    <w:rsid w:val="00530A1C"/>
    <w:rPr>
      <w:rFonts w:ascii="Times New Roman" w:eastAsiaTheme="majorEastAsia" w:hAnsi="Times New Roman" w:cstheme="majorBidi"/>
      <w:b/>
      <w:sz w:val="28"/>
      <w:szCs w:val="26"/>
    </w:rPr>
  </w:style>
  <w:style w:type="table" w:styleId="TabelacomGrelha">
    <w:name w:val="Table Grid"/>
    <w:basedOn w:val="Tabelanormal"/>
    <w:uiPriority w:val="39"/>
    <w:rsid w:val="00226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2265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2651C"/>
  </w:style>
  <w:style w:type="paragraph" w:styleId="Rodap">
    <w:name w:val="footer"/>
    <w:basedOn w:val="Normal"/>
    <w:link w:val="RodapCarter"/>
    <w:uiPriority w:val="99"/>
    <w:unhideWhenUsed/>
    <w:rsid w:val="002265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22651C"/>
  </w:style>
  <w:style w:type="character" w:styleId="Hiperligao">
    <w:name w:val="Hyperlink"/>
    <w:basedOn w:val="Tipodeletrapredefinidodopargrafo"/>
    <w:uiPriority w:val="99"/>
    <w:unhideWhenUsed/>
    <w:rsid w:val="00E3490E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E3490E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E3490E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A51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4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7487">
              <w:marLeft w:val="0"/>
              <w:marRight w:val="0"/>
              <w:marTop w:val="0"/>
              <w:marBottom w:val="0"/>
              <w:divBdr>
                <w:top w:val="none" w:sz="0" w:space="0" w:color="F0F0F0"/>
                <w:left w:val="none" w:sz="0" w:space="0" w:color="F0F0F0"/>
                <w:bottom w:val="none" w:sz="0" w:space="0" w:color="F0F0F0"/>
                <w:right w:val="none" w:sz="0" w:space="0" w:color="F0F0F0"/>
              </w:divBdr>
              <w:divsChild>
                <w:div w:id="69855460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9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12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oroc.pt/fotos/editor2/Revista/48/Contabilidad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2</Pages>
  <Words>884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machado</dc:creator>
  <cp:keywords/>
  <dc:description/>
  <cp:lastModifiedBy>sandra machado</cp:lastModifiedBy>
  <cp:revision>50</cp:revision>
  <dcterms:created xsi:type="dcterms:W3CDTF">2019-05-06T13:54:00Z</dcterms:created>
  <dcterms:modified xsi:type="dcterms:W3CDTF">2019-05-30T16:21:00Z</dcterms:modified>
</cp:coreProperties>
</file>