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A98" w:rsidRDefault="000F4A98" w:rsidP="00312A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PT"/>
        </w:rPr>
      </w:pPr>
      <w:r w:rsidRPr="000F4A98">
        <w:rPr>
          <w:color w:val="0000FF"/>
          <w:u w:val="single"/>
        </w:rPr>
        <w:t>IVA 2011</w:t>
      </w:r>
      <w:r w:rsidRPr="000F4A98">
        <w:t xml:space="preserve">, </w:t>
      </w:r>
      <w:r w:rsidRPr="000F4A98">
        <w:rPr>
          <w:color w:val="0000FF"/>
          <w:u w:val="single"/>
        </w:rPr>
        <w:t>Orçamento de Estado 2011</w:t>
      </w:r>
      <w:r w:rsidRPr="000F4A98">
        <w:t xml:space="preserve">, </w:t>
      </w:r>
      <w:r w:rsidRPr="000F4A98">
        <w:rPr>
          <w:color w:val="0000FF"/>
          <w:u w:val="single"/>
        </w:rPr>
        <w:t>Produtos sujeitos a aumento da taxa de IVA</w:t>
      </w:r>
      <w:r>
        <w:t>.</w:t>
      </w:r>
    </w:p>
    <w:p w:rsidR="00312A45" w:rsidRPr="00312A45" w:rsidRDefault="00312A45" w:rsidP="00312A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PT"/>
        </w:rPr>
        <w:t>Exemplos de Produtos que passam da taxa de 6% para a taxa de 23%:</w:t>
      </w:r>
    </w:p>
    <w:p w:rsidR="00312A45" w:rsidRPr="00312A45" w:rsidRDefault="00312A45" w:rsidP="00312A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>Leites chocolatados, aromatizados, vitaminados ou enriquecidos;</w:t>
      </w:r>
    </w:p>
    <w:p w:rsidR="00312A45" w:rsidRPr="00312A45" w:rsidRDefault="00312A45" w:rsidP="00312A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>Bebidas e sobremesas lácteas e de soja;</w:t>
      </w:r>
    </w:p>
    <w:p w:rsidR="00312A45" w:rsidRPr="00312A45" w:rsidRDefault="00312A45" w:rsidP="00312A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>Refrigerantes, sumos e néctares de frutos ou de produtos hortícolas, incluindo os xaropes de sumos, as bebidas concentradas de sumos e os produtos concentrados de sumos;</w:t>
      </w:r>
    </w:p>
    <w:p w:rsidR="00312A45" w:rsidRPr="00312A45" w:rsidRDefault="00312A45" w:rsidP="00312A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Utensílios e outros </w:t>
      </w:r>
      <w:proofErr w:type="gramStart"/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>equipamentos exclusiva</w:t>
      </w:r>
      <w:proofErr w:type="gramEnd"/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ou principalmente destinados ao combate e detecção de incêndios;</w:t>
      </w:r>
    </w:p>
    <w:p w:rsidR="00312A45" w:rsidRPr="00312A45" w:rsidRDefault="00312A45" w:rsidP="00312A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>Ginásio e demais despesas com a prática de actividades físicas e desportivas;</w:t>
      </w:r>
    </w:p>
    <w:p w:rsidR="00312A45" w:rsidRPr="00312A45" w:rsidRDefault="00312A45" w:rsidP="00312A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>Publicações desportivas e Revistas recreativas;</w:t>
      </w:r>
    </w:p>
    <w:p w:rsidR="00312A45" w:rsidRPr="00312A45" w:rsidRDefault="00312A45" w:rsidP="00312A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>Livros, folhetos ou outras publicações (a confirmar se sobe para 13% ou para 23%).</w:t>
      </w:r>
    </w:p>
    <w:p w:rsidR="00312A45" w:rsidRPr="00312A45" w:rsidRDefault="00312A45" w:rsidP="00312A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PT"/>
        </w:rPr>
        <w:t>Exemplos de Produtos que passam de taxa de 13% para a taxa de 23%:</w:t>
      </w:r>
    </w:p>
    <w:p w:rsidR="00312A45" w:rsidRPr="00312A45" w:rsidRDefault="00312A45" w:rsidP="00312A4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>Conservas de moluscos;</w:t>
      </w:r>
    </w:p>
    <w:p w:rsidR="00312A45" w:rsidRPr="00312A45" w:rsidRDefault="00312A45" w:rsidP="00312A4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>Conservas de frutas ou frutos, designadamente em molhos, salmoura ou calda e suas compotas, geleias, marmeladas ou pastas;</w:t>
      </w:r>
    </w:p>
    <w:p w:rsidR="00312A45" w:rsidRPr="00312A45" w:rsidRDefault="00312A45" w:rsidP="00312A4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>Conservas de produtos hortícolas, designadamente em molhos, vinagre ou salmoura e suas compotas;</w:t>
      </w:r>
    </w:p>
    <w:p w:rsidR="00312A45" w:rsidRPr="00312A45" w:rsidRDefault="00312A45" w:rsidP="00312A4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>Óleos directamente comestíveis e suas misturas (óleos alimentares), margarinas de origem animal e vegetal;</w:t>
      </w:r>
    </w:p>
    <w:p w:rsidR="00312A45" w:rsidRPr="00312A45" w:rsidRDefault="00312A45" w:rsidP="00312A4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>Aperitivos à base de produtos hortícolas e sementes;</w:t>
      </w:r>
    </w:p>
    <w:p w:rsidR="00312A45" w:rsidRPr="00312A45" w:rsidRDefault="00312A45" w:rsidP="00312A4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>Aperitivos ou snacks à base de estrudidos de milho e trigo, à base de milho moído e frito ou de fécula de batata, em embalagens individuais;</w:t>
      </w:r>
    </w:p>
    <w:p w:rsidR="00312A45" w:rsidRPr="00312A45" w:rsidRDefault="00312A45" w:rsidP="00312A4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>Flores de corte, folhagem para ornamentação e composições florais decorativas. Exceptuam-se as flores e folhagens secas e as secas tingidas;</w:t>
      </w:r>
    </w:p>
    <w:p w:rsidR="00312A45" w:rsidRPr="00312A45" w:rsidRDefault="00312A45" w:rsidP="00312A4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>Plantas ornamentais;</w:t>
      </w:r>
    </w:p>
    <w:p w:rsidR="00312A45" w:rsidRPr="00312A45" w:rsidRDefault="00312A45" w:rsidP="00312A4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12A45">
        <w:rPr>
          <w:rFonts w:ascii="Times New Roman" w:eastAsia="Times New Roman" w:hAnsi="Times New Roman" w:cs="Times New Roman"/>
          <w:sz w:val="24"/>
          <w:szCs w:val="24"/>
          <w:lang w:eastAsia="pt-PT"/>
        </w:rPr>
        <w:t>Peixe e fruta não transformados (a aguardar confirmação);</w:t>
      </w:r>
    </w:p>
    <w:p w:rsidR="001F7654" w:rsidRDefault="00947F18">
      <w:r>
        <w:rPr>
          <w:rStyle w:val="nfase"/>
          <w:b/>
          <w:bCs/>
        </w:rPr>
        <w:t>Fonte:</w:t>
      </w:r>
      <w:r>
        <w:t xml:space="preserve"> </w:t>
      </w:r>
      <w:r w:rsidRPr="000F4A98">
        <w:t>Jornal de Negócios</w:t>
      </w:r>
      <w:r>
        <w:t xml:space="preserve">, </w:t>
      </w:r>
      <w:r w:rsidRPr="000F4A98">
        <w:t>Diário Económico</w:t>
      </w:r>
    </w:p>
    <w:sectPr w:rsidR="001F7654" w:rsidSect="001F76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E31B1"/>
    <w:multiLevelType w:val="multilevel"/>
    <w:tmpl w:val="18F25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C80489"/>
    <w:multiLevelType w:val="multilevel"/>
    <w:tmpl w:val="325A1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2A45"/>
    <w:rsid w:val="000F4A98"/>
    <w:rsid w:val="001F7654"/>
    <w:rsid w:val="00312A45"/>
    <w:rsid w:val="00947F18"/>
    <w:rsid w:val="00AB1A4F"/>
    <w:rsid w:val="00C71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65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12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312A45"/>
    <w:rPr>
      <w:b/>
      <w:bCs/>
    </w:rPr>
  </w:style>
  <w:style w:type="character" w:styleId="Hiperligao">
    <w:name w:val="Hyperlink"/>
    <w:basedOn w:val="Tipodeletrapredefinidodopargrafo"/>
    <w:uiPriority w:val="99"/>
    <w:semiHidden/>
    <w:unhideWhenUsed/>
    <w:rsid w:val="00947F18"/>
    <w:rPr>
      <w:color w:val="0000FF"/>
      <w:u w:val="single"/>
    </w:rPr>
  </w:style>
  <w:style w:type="character" w:styleId="nfase">
    <w:name w:val="Emphasis"/>
    <w:basedOn w:val="Tipodeletrapredefinidodopargrafo"/>
    <w:uiPriority w:val="20"/>
    <w:qFormat/>
    <w:rsid w:val="00947F1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2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Costa</dc:creator>
  <cp:keywords/>
  <dc:description/>
  <cp:lastModifiedBy>Paulo Costa</cp:lastModifiedBy>
  <cp:revision>7</cp:revision>
  <dcterms:created xsi:type="dcterms:W3CDTF">2011-01-14T12:33:00Z</dcterms:created>
  <dcterms:modified xsi:type="dcterms:W3CDTF">2011-01-14T12:42:00Z</dcterms:modified>
</cp:coreProperties>
</file>