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4F1" w:rsidRDefault="000B64F1" w:rsidP="000B64F1">
      <w:pPr>
        <w:pStyle w:val="Ttulo1"/>
      </w:pPr>
      <w:r>
        <w:t>1. Identificação da entidade</w:t>
      </w:r>
    </w:p>
    <w:p w:rsidR="000B64F1" w:rsidRDefault="000B64F1" w:rsidP="000B64F1">
      <w:pPr>
        <w:spacing w:after="120"/>
        <w:rPr>
          <w:sz w:val="20"/>
          <w:szCs w:val="20"/>
        </w:rPr>
      </w:pPr>
      <w:r>
        <w:rPr>
          <w:sz w:val="20"/>
          <w:szCs w:val="20"/>
        </w:rPr>
        <w:t>EXERCÍCIO DE 2010</w:t>
      </w:r>
    </w:p>
    <w:p w:rsidR="000B64F1" w:rsidRDefault="000B64F1" w:rsidP="000B64F1">
      <w:pPr>
        <w:spacing w:after="120"/>
        <w:rPr>
          <w:sz w:val="20"/>
          <w:szCs w:val="20"/>
        </w:rPr>
      </w:pPr>
    </w:p>
    <w:p w:rsidR="000B64F1" w:rsidRDefault="000B64F1" w:rsidP="000B64F1">
      <w:pPr>
        <w:spacing w:after="120"/>
        <w:rPr>
          <w:sz w:val="20"/>
          <w:szCs w:val="20"/>
        </w:rPr>
      </w:pPr>
      <w:r>
        <w:rPr>
          <w:sz w:val="20"/>
          <w:szCs w:val="20"/>
        </w:rPr>
        <w:t>INTRODUÇÃO</w:t>
      </w:r>
    </w:p>
    <w:p w:rsidR="000B64F1" w:rsidRDefault="000B64F1" w:rsidP="000B64F1">
      <w:pPr>
        <w:spacing w:after="120"/>
        <w:rPr>
          <w:sz w:val="20"/>
          <w:szCs w:val="20"/>
        </w:rPr>
      </w:pPr>
    </w:p>
    <w:p w:rsidR="000B64F1" w:rsidRDefault="000B64F1" w:rsidP="000B64F1">
      <w:pPr>
        <w:spacing w:after="120"/>
        <w:rPr>
          <w:sz w:val="20"/>
          <w:szCs w:val="20"/>
        </w:rPr>
      </w:pPr>
      <w:r>
        <w:rPr>
          <w:sz w:val="20"/>
          <w:szCs w:val="20"/>
        </w:rPr>
        <w:t xml:space="preserve">A empresa SNC 2010, NIF.501264353, é uma </w:t>
      </w:r>
      <w:proofErr w:type="spellStart"/>
      <w:proofErr w:type="gramStart"/>
      <w:r>
        <w:rPr>
          <w:sz w:val="20"/>
          <w:szCs w:val="20"/>
        </w:rPr>
        <w:t>NaturezaJuridica</w:t>
      </w:r>
      <w:proofErr w:type="spellEnd"/>
      <w:r>
        <w:rPr>
          <w:sz w:val="20"/>
          <w:szCs w:val="20"/>
        </w:rPr>
        <w:t>(</w:t>
      </w:r>
      <w:proofErr w:type="gramEnd"/>
      <w:r>
        <w:rPr>
          <w:sz w:val="20"/>
          <w:szCs w:val="20"/>
        </w:rPr>
        <w:t xml:space="preserve">), constituída em ??????, tendo sede em  e filiais (sucursais, estabelecimentos, etc.) em ??????, exercendo a actividade de </w:t>
      </w:r>
      <w:proofErr w:type="spellStart"/>
      <w:r>
        <w:rPr>
          <w:sz w:val="20"/>
          <w:szCs w:val="20"/>
        </w:rPr>
        <w:t>ActividadePrincipal</w:t>
      </w:r>
      <w:proofErr w:type="spellEnd"/>
      <w:r>
        <w:rPr>
          <w:sz w:val="20"/>
          <w:szCs w:val="20"/>
        </w:rPr>
        <w:t xml:space="preserve">(). </w:t>
      </w:r>
    </w:p>
    <w:p w:rsidR="000B64F1" w:rsidRDefault="000B64F1" w:rsidP="000B64F1">
      <w:r>
        <w:rPr>
          <w:sz w:val="20"/>
          <w:szCs w:val="20"/>
        </w:rPr>
        <w:t xml:space="preserve">Encontra-se registada na Conservatória do Registo Comercial de </w:t>
      </w:r>
      <w:proofErr w:type="spellStart"/>
      <w:proofErr w:type="gramStart"/>
      <w:r>
        <w:rPr>
          <w:sz w:val="20"/>
          <w:szCs w:val="20"/>
        </w:rPr>
        <w:t>Conservatoria</w:t>
      </w:r>
      <w:proofErr w:type="spellEnd"/>
      <w:r>
        <w:rPr>
          <w:sz w:val="20"/>
          <w:szCs w:val="20"/>
        </w:rPr>
        <w:t>(</w:t>
      </w:r>
      <w:proofErr w:type="gramEnd"/>
      <w:r>
        <w:rPr>
          <w:sz w:val="20"/>
          <w:szCs w:val="20"/>
        </w:rPr>
        <w:t xml:space="preserve">), sob a Matricula n.º </w:t>
      </w:r>
      <w:proofErr w:type="spellStart"/>
      <w:r>
        <w:rPr>
          <w:sz w:val="20"/>
          <w:szCs w:val="20"/>
        </w:rPr>
        <w:t>NoMatricula</w:t>
      </w:r>
      <w:proofErr w:type="spellEnd"/>
      <w:r>
        <w:rPr>
          <w:sz w:val="20"/>
          <w:szCs w:val="20"/>
        </w:rPr>
        <w:t xml:space="preserve">() e com o Capital Social de </w:t>
      </w:r>
      <w:proofErr w:type="spellStart"/>
      <w:r>
        <w:rPr>
          <w:sz w:val="20"/>
          <w:szCs w:val="20"/>
        </w:rPr>
        <w:t>CapitalSocial</w:t>
      </w:r>
      <w:proofErr w:type="spellEnd"/>
      <w:r>
        <w:rPr>
          <w:sz w:val="20"/>
          <w:szCs w:val="20"/>
        </w:rPr>
        <w:t>() euros.</w:t>
      </w:r>
    </w:p>
    <w:p w:rsidR="000B64F1" w:rsidRDefault="000B64F1" w:rsidP="000B64F1"/>
    <w:p w:rsidR="000B64F1" w:rsidRDefault="000B64F1" w:rsidP="000B64F1">
      <w:pPr>
        <w:pStyle w:val="Ttulo1"/>
      </w:pPr>
      <w:r>
        <w:t>2. Referencial contabilístico de preparação das demonstrações financeiras</w:t>
      </w:r>
    </w:p>
    <w:p w:rsidR="000B64F1" w:rsidRDefault="000B64F1" w:rsidP="000B64F1">
      <w:pPr>
        <w:pStyle w:val="Ttulo2"/>
      </w:pPr>
      <w:r>
        <w:t>2.1. Enquadramento</w:t>
      </w:r>
    </w:p>
    <w:p w:rsidR="000B64F1" w:rsidRDefault="000B64F1" w:rsidP="000B64F1">
      <w:r>
        <w:t>As demonstrações financeiras do exercício foram preparadas, em todos os seus aspectos materiais, em conformidade com as disposições do SNC e respectivas NCRF.</w:t>
      </w:r>
    </w:p>
    <w:p w:rsidR="000B64F1" w:rsidRDefault="000B64F1" w:rsidP="000B64F1"/>
    <w:p w:rsidR="000B64F1" w:rsidRDefault="000B64F1" w:rsidP="000B64F1">
      <w:r>
        <w:t>[Ou, em alternativa e se for o caso]:</w:t>
      </w:r>
    </w:p>
    <w:p w:rsidR="000B64F1" w:rsidRDefault="000B64F1" w:rsidP="000B64F1"/>
    <w:p w:rsidR="000B64F1" w:rsidRDefault="000B64F1" w:rsidP="000B64F1">
      <w:r>
        <w:t xml:space="preserve">Por </w:t>
      </w:r>
      <w:proofErr w:type="gramStart"/>
      <w:r>
        <w:t>motivos ?</w:t>
      </w:r>
      <w:proofErr w:type="gramEnd"/>
      <w:r>
        <w:t xml:space="preserve">?????? </w:t>
      </w:r>
      <w:proofErr w:type="gramStart"/>
      <w:r>
        <w:t>foram</w:t>
      </w:r>
      <w:proofErr w:type="gramEnd"/>
      <w:r>
        <w:t xml:space="preserve"> derrogadas as seguintes disposições do SNC, em relação a [Balanço, Demonstração dos Resultados, etc.],......................., justificadas pelo facto de ........................................, tendo produzido os seguintes efeitos:</w:t>
      </w:r>
    </w:p>
    <w:p w:rsidR="000B64F1" w:rsidRDefault="000B64F1" w:rsidP="000B64F1">
      <w:r>
        <w:t>…</w:t>
      </w:r>
    </w:p>
    <w:p w:rsidR="000B64F1" w:rsidRDefault="000B64F1" w:rsidP="000B64F1"/>
    <w:p w:rsidR="000B64F1" w:rsidRDefault="000B64F1" w:rsidP="000B64F1">
      <w:r>
        <w:t>Indica-se em seguida as contas do balanço e da demonstração dos resultados cujos conteúdos não são comparáveis com os do exercício anterior:</w:t>
      </w:r>
    </w:p>
    <w:p w:rsidR="000B64F1" w:rsidRDefault="000B64F1" w:rsidP="000B64F1">
      <w:r>
        <w:t>….</w:t>
      </w:r>
    </w:p>
    <w:p w:rsidR="000B64F1" w:rsidRDefault="000B64F1" w:rsidP="000B64F1"/>
    <w:p w:rsidR="000B64F1" w:rsidRDefault="000B64F1" w:rsidP="000B64F1">
      <w:pPr>
        <w:pStyle w:val="Ttulo2"/>
      </w:pPr>
      <w:r>
        <w:t>2.2. Adopção pela primeira vez das NCRF</w:t>
      </w:r>
    </w:p>
    <w:p w:rsidR="000B64F1" w:rsidRDefault="000B64F1" w:rsidP="000B64F1">
      <w:r>
        <w:t>Indica-se em seguida a forma como a transição dos PCGA anteriores para a NCRF-PE afectou a posição financeira, o desempenho financeiro e os fluxos de caixa relatados:</w:t>
      </w:r>
    </w:p>
    <w:p w:rsidR="000B64F1" w:rsidRDefault="000B64F1" w:rsidP="000B64F1">
      <w:r>
        <w:t>…</w:t>
      </w:r>
    </w:p>
    <w:p w:rsidR="000B64F1" w:rsidRDefault="000B64F1" w:rsidP="000B64F1"/>
    <w:p w:rsidR="000B64F1" w:rsidRDefault="000B64F1" w:rsidP="000B64F1">
      <w:r>
        <w:t>Foram reconhecidas como capital próprio as seguintes diferenças de transição:</w:t>
      </w:r>
    </w:p>
    <w:p w:rsidR="000B64F1" w:rsidRDefault="000B64F1" w:rsidP="000B64F1">
      <w:r>
        <w:lastRenderedPageBreak/>
        <w:t>…</w:t>
      </w:r>
    </w:p>
    <w:p w:rsidR="000B64F1" w:rsidRDefault="000B64F1" w:rsidP="000B64F1"/>
    <w:p w:rsidR="000B64F1" w:rsidRDefault="000B64F1" w:rsidP="000B64F1">
      <w:r>
        <w:t>(Caso sejam referidos erros cometidos segundo os PCGA anteriores, as diferenças evidenciadas nos parágrafos anteriores devem distinguir entre a correcção desses erros e as alterações às políticas contabilísticas.)</w:t>
      </w:r>
    </w:p>
    <w:p w:rsidR="000B64F1" w:rsidRDefault="000B64F1" w:rsidP="000B64F1"/>
    <w:p w:rsidR="000B64F1" w:rsidRDefault="000B64F1" w:rsidP="000B64F1">
      <w:pPr>
        <w:pStyle w:val="Ttulo1"/>
      </w:pPr>
      <w:r>
        <w:t>3. Principais políticas contabilísticas</w:t>
      </w:r>
    </w:p>
    <w:p w:rsidR="000B64F1" w:rsidRDefault="000B64F1" w:rsidP="000B64F1">
      <w:pPr>
        <w:pStyle w:val="Ttulo2"/>
      </w:pPr>
      <w:r>
        <w:t xml:space="preserve">3.1. Bases de mensuração usadas na preparação das </w:t>
      </w:r>
      <w:proofErr w:type="spellStart"/>
      <w:r>
        <w:t>DFs</w:t>
      </w:r>
      <w:proofErr w:type="spellEnd"/>
    </w:p>
    <w:p w:rsidR="000B64F1" w:rsidRDefault="000B64F1" w:rsidP="000B64F1">
      <w:pPr>
        <w:pStyle w:val="PargrafodaLista"/>
        <w:numPr>
          <w:ilvl w:val="0"/>
          <w:numId w:val="1"/>
        </w:numPr>
        <w:rPr>
          <w:b/>
          <w:bCs/>
          <w:color w:val="auto"/>
        </w:rPr>
      </w:pPr>
      <w:r>
        <w:rPr>
          <w:b/>
          <w:bCs/>
        </w:rPr>
        <w:t>Activos Intangíveis:</w:t>
      </w:r>
    </w:p>
    <w:p w:rsidR="000B64F1" w:rsidRDefault="000B64F1" w:rsidP="000B64F1">
      <w:pPr>
        <w:ind w:left="70"/>
      </w:pPr>
      <w:r>
        <w:t xml:space="preserve">Os activos intangíveis foram mensurados inicialmente pelo seu custo, tendo sido aplicado nas mensurações subsequentes o modelo do custo </w:t>
      </w:r>
      <w:proofErr w:type="gramStart"/>
      <w:r>
        <w:t>[(ou</w:t>
      </w:r>
      <w:proofErr w:type="gramEnd"/>
      <w:r>
        <w:t xml:space="preserve"> o modelo de revalorização)].</w:t>
      </w:r>
    </w:p>
    <w:p w:rsidR="000B64F1" w:rsidRDefault="000B64F1" w:rsidP="000B64F1">
      <w:pPr>
        <w:ind w:left="70"/>
      </w:pPr>
    </w:p>
    <w:p w:rsidR="000B64F1" w:rsidRDefault="000B64F1" w:rsidP="000B64F1">
      <w:pPr>
        <w:ind w:left="70"/>
      </w:pPr>
      <w:r>
        <w:t>Os activos intangíveis recebidos através de um subsídio do governo bem como aqueles nos quais apenas parte do custo foi reconhecido como activo intangível, em virtude de apenas ter satisfeito os critérios de reconhecimento a meio do processo, foram mensurados inicialmente pelo modelo de revalorização.</w:t>
      </w:r>
    </w:p>
    <w:p w:rsidR="000B64F1" w:rsidRDefault="000B64F1" w:rsidP="000B64F1">
      <w:pPr>
        <w:ind w:left="70"/>
      </w:pPr>
    </w:p>
    <w:p w:rsidR="000B64F1" w:rsidRDefault="000B64F1" w:rsidP="000B64F1">
      <w:pPr>
        <w:pStyle w:val="PargrafodaLista"/>
        <w:numPr>
          <w:ilvl w:val="0"/>
          <w:numId w:val="1"/>
        </w:numPr>
        <w:rPr>
          <w:b/>
          <w:bCs/>
          <w:color w:val="auto"/>
        </w:rPr>
      </w:pPr>
      <w:r>
        <w:rPr>
          <w:b/>
          <w:bCs/>
        </w:rPr>
        <w:t>Activos fixos tangíveis:</w:t>
      </w:r>
    </w:p>
    <w:p w:rsidR="000B64F1" w:rsidRDefault="000B64F1" w:rsidP="000B64F1">
      <w:pPr>
        <w:ind w:left="84"/>
      </w:pPr>
      <w:r>
        <w:t xml:space="preserve">A mensuração inicial dos activos fixos tangíveis baseou-se no método do custo. A mensuração subsequente baseou-se no modelo do custo </w:t>
      </w:r>
      <w:proofErr w:type="gramStart"/>
      <w:r>
        <w:t>[(e</w:t>
      </w:r>
      <w:proofErr w:type="gramEnd"/>
      <w:r>
        <w:t>/ou modelo de revalorização)].</w:t>
      </w:r>
    </w:p>
    <w:p w:rsidR="000B64F1" w:rsidRDefault="000B64F1" w:rsidP="000B64F1">
      <w:pPr>
        <w:ind w:left="84"/>
        <w:rPr>
          <w:i/>
          <w:iCs/>
        </w:rPr>
      </w:pPr>
    </w:p>
    <w:p w:rsidR="000B64F1" w:rsidRDefault="000B64F1" w:rsidP="000B64F1">
      <w:pPr>
        <w:ind w:left="84"/>
      </w:pPr>
      <w:r>
        <w:t xml:space="preserve">As depreciações destes activos são calculadas segundo o método das quotas constantes </w:t>
      </w:r>
      <w:proofErr w:type="gramStart"/>
      <w:r>
        <w:t>[(e</w:t>
      </w:r>
      <w:proofErr w:type="gramEnd"/>
      <w:r>
        <w:t>/ou, para os bens adquiridos a partir do exercício de ...., o método das quotas degressivas)], utilizando-se para o efeito as taxas máximas [(ou mínimas)] definidas na Portaria 737/81, de 29 de Agosto para bens adquiridos antes de 1 de Janeiro de 1989, no Decreto Regulamentar 2/90 de 12 de Janeiro para bens adquiridos entre 1 de Janeiro de 1989 e 31 de Dezembro de 2009 [e/ou] no Decreto Regulamentar 25/2009 de 14 de Setembro para bens adquiridos após 1 de Janeiro de 2010, que se consideram representarem satisfatoriamente a vida útil estimada dos bens.</w:t>
      </w:r>
    </w:p>
    <w:p w:rsidR="000B64F1" w:rsidRDefault="000B64F1" w:rsidP="000B64F1">
      <w:pPr>
        <w:ind w:left="84"/>
      </w:pPr>
    </w:p>
    <w:p w:rsidR="000B64F1" w:rsidRDefault="000B64F1" w:rsidP="000B64F1">
      <w:pPr>
        <w:ind w:left="84"/>
      </w:pPr>
      <w:r>
        <w:t xml:space="preserve">O processo de depreciação inicia-se no começo do exercício em que o respectivo bem entrou em funcionamento </w:t>
      </w:r>
      <w:proofErr w:type="gramStart"/>
      <w:r>
        <w:t>[(ou</w:t>
      </w:r>
      <w:proofErr w:type="gramEnd"/>
      <w:r>
        <w:t xml:space="preserve"> no mês / mês seguinte àquele em que o bem entrou em funcionamento)].</w:t>
      </w:r>
    </w:p>
    <w:p w:rsidR="000B64F1" w:rsidRDefault="000B64F1" w:rsidP="000B64F1">
      <w:pPr>
        <w:rPr>
          <w:b/>
          <w:bCs/>
        </w:rPr>
      </w:pPr>
    </w:p>
    <w:p w:rsidR="000B64F1" w:rsidRDefault="000B64F1" w:rsidP="000B64F1">
      <w:pPr>
        <w:pStyle w:val="PargrafodaLista"/>
        <w:numPr>
          <w:ilvl w:val="0"/>
          <w:numId w:val="1"/>
        </w:numPr>
        <w:rPr>
          <w:b/>
          <w:bCs/>
          <w:color w:val="auto"/>
        </w:rPr>
      </w:pPr>
      <w:r>
        <w:rPr>
          <w:b/>
          <w:bCs/>
        </w:rPr>
        <w:t>Propriedades de investimento:</w:t>
      </w:r>
    </w:p>
    <w:p w:rsidR="000B64F1" w:rsidRDefault="000B64F1" w:rsidP="000B64F1">
      <w:pPr>
        <w:ind w:left="66"/>
      </w:pPr>
      <w:r>
        <w:t xml:space="preserve">Foi aplicado o modelo de mensuração do custo na mensuração inicial, e, nas mensurações subsequentes o mesmo modelo </w:t>
      </w:r>
      <w:proofErr w:type="gramStart"/>
      <w:r>
        <w:t>[(ou</w:t>
      </w:r>
      <w:proofErr w:type="gramEnd"/>
      <w:r>
        <w:t xml:space="preserve"> justo valor)].</w:t>
      </w:r>
    </w:p>
    <w:p w:rsidR="000B64F1" w:rsidRDefault="000B64F1" w:rsidP="000B64F1">
      <w:pPr>
        <w:ind w:left="66"/>
      </w:pPr>
    </w:p>
    <w:p w:rsidR="000B64F1" w:rsidRDefault="000B64F1" w:rsidP="000B64F1">
      <w:pPr>
        <w:ind w:left="70"/>
      </w:pPr>
      <w:proofErr w:type="gramStart"/>
      <w:r>
        <w:lastRenderedPageBreak/>
        <w:t>[(Caso</w:t>
      </w:r>
      <w:proofErr w:type="gramEnd"/>
      <w:r>
        <w:t xml:space="preserve"> seja aplicado o modelo do custo)] As depreciações destes activos são calculadas segundo o método das quotas constantes, utilizando-se para o efeito as taxas máximas [(ou mínimas)] definidas na Portaria 737/81, de 29 de Agosto para propriedades de investimento adquiridas antes de 1 de Janeiro de 1989, no Decreto Regulamentar 2/90 de 12 de Janeiro para propriedades de investimento adquiridas entre 1 de Janeiro de 1989 e 31 de Dezembro de 2009 [e/ou] no Decreto Regulamentar 25/2009 de 14 de Setembro para propriedades de investimento adquiridas após 1 de Janeiro de 2010, que se consideram representarem satisfatoriamente a vida útil estimada dos bens.</w:t>
      </w:r>
    </w:p>
    <w:p w:rsidR="000B64F1" w:rsidRDefault="000B64F1" w:rsidP="000B64F1">
      <w:pPr>
        <w:ind w:left="70"/>
      </w:pPr>
    </w:p>
    <w:p w:rsidR="000B64F1" w:rsidRDefault="000B64F1" w:rsidP="000B64F1">
      <w:pPr>
        <w:pStyle w:val="PargrafodaLista"/>
        <w:numPr>
          <w:ilvl w:val="0"/>
          <w:numId w:val="1"/>
        </w:numPr>
        <w:rPr>
          <w:b/>
          <w:bCs/>
          <w:color w:val="auto"/>
        </w:rPr>
      </w:pPr>
      <w:r>
        <w:rPr>
          <w:b/>
          <w:bCs/>
        </w:rPr>
        <w:t>Contratos de locação financeira:</w:t>
      </w:r>
    </w:p>
    <w:p w:rsidR="000B64F1" w:rsidRDefault="000B64F1" w:rsidP="000B64F1">
      <w:pPr>
        <w:ind w:left="70"/>
      </w:pPr>
      <w:r>
        <w:t>Os activos adquiridos mediante contratos de locação financeira, bem como as correspondentes responsabilidades, são contabilizados pelo método financeiro. De acordo com este método o custo do activo é registado como investimento, a correspondente responsabilidade é contabilizada no passivo e os juros registados como gastos do exercício. As depreciações são calculadas de acordo com o descrito na alínea b) acima.</w:t>
      </w:r>
    </w:p>
    <w:p w:rsidR="000B64F1" w:rsidRDefault="000B64F1" w:rsidP="000B64F1">
      <w:pPr>
        <w:ind w:left="70"/>
      </w:pPr>
    </w:p>
    <w:p w:rsidR="000B64F1" w:rsidRDefault="000B64F1" w:rsidP="000B64F1">
      <w:pPr>
        <w:ind w:left="70"/>
      </w:pPr>
      <w:r>
        <w:t>Os activos adquiridos mediante contratos de aluguer de longa duração são contabilizados pelo método operacional, pelo que as rendas constituem gastos do exercício a que dizem respeito, não se relevando na situação patrimonial da Empresa o valor desses bens e a respectiva responsabilidade pelas rendas vincendas.</w:t>
      </w:r>
    </w:p>
    <w:p w:rsidR="000B64F1" w:rsidRDefault="000B64F1" w:rsidP="000B64F1">
      <w:pPr>
        <w:rPr>
          <w:b/>
          <w:bCs/>
        </w:rPr>
      </w:pPr>
    </w:p>
    <w:p w:rsidR="000B64F1" w:rsidRDefault="000B64F1" w:rsidP="000B64F1">
      <w:pPr>
        <w:pStyle w:val="PargrafodaLista"/>
        <w:numPr>
          <w:ilvl w:val="0"/>
          <w:numId w:val="1"/>
        </w:numPr>
        <w:rPr>
          <w:b/>
          <w:bCs/>
          <w:color w:val="auto"/>
        </w:rPr>
      </w:pPr>
      <w:r>
        <w:rPr>
          <w:b/>
          <w:bCs/>
        </w:rPr>
        <w:t>Inventários:</w:t>
      </w:r>
    </w:p>
    <w:p w:rsidR="000B64F1" w:rsidRDefault="000B64F1" w:rsidP="000B64F1">
      <w:pPr>
        <w:ind w:left="70"/>
      </w:pPr>
      <w:r>
        <w:rPr>
          <w:color w:val="151515"/>
        </w:rPr>
        <w:t xml:space="preserve">Os inventários foram mensurados pelo método do custo </w:t>
      </w:r>
      <w:proofErr w:type="gramStart"/>
      <w:r>
        <w:rPr>
          <w:color w:val="151515"/>
        </w:rPr>
        <w:t>[(e</w:t>
      </w:r>
      <w:proofErr w:type="gramEnd"/>
      <w:r>
        <w:rPr>
          <w:color w:val="151515"/>
        </w:rPr>
        <w:t xml:space="preserve">/ou valor realizável líquido)], sendo usado o sistema de custeio Custo médio ponderado[(e/ou FIFO e/ou Custo específico)]. Na imputação dos custos aos inventários, foi usado o sistema de custeio total </w:t>
      </w:r>
      <w:proofErr w:type="gramStart"/>
      <w:r>
        <w:rPr>
          <w:color w:val="151515"/>
        </w:rPr>
        <w:t>[(e</w:t>
      </w:r>
      <w:proofErr w:type="gramEnd"/>
      <w:r>
        <w:rPr>
          <w:color w:val="151515"/>
        </w:rPr>
        <w:t>/ou variável e/ou racional e/ou directo)].</w:t>
      </w:r>
    </w:p>
    <w:p w:rsidR="000B64F1" w:rsidRDefault="000B64F1" w:rsidP="000B64F1">
      <w:pPr>
        <w:rPr>
          <w:b/>
          <w:bCs/>
        </w:rPr>
      </w:pPr>
    </w:p>
    <w:p w:rsidR="000B64F1" w:rsidRDefault="000B64F1" w:rsidP="000B64F1">
      <w:pPr>
        <w:pStyle w:val="PargrafodaLista"/>
        <w:numPr>
          <w:ilvl w:val="0"/>
          <w:numId w:val="1"/>
        </w:numPr>
        <w:rPr>
          <w:b/>
          <w:bCs/>
          <w:color w:val="auto"/>
        </w:rPr>
      </w:pPr>
      <w:r>
        <w:rPr>
          <w:b/>
          <w:bCs/>
        </w:rPr>
        <w:t>Saldos e Transacções em moeda estrangeira</w:t>
      </w:r>
    </w:p>
    <w:p w:rsidR="000B64F1" w:rsidRDefault="000B64F1" w:rsidP="000B64F1">
      <w:pPr>
        <w:rPr>
          <w:b/>
          <w:bCs/>
        </w:rPr>
      </w:pPr>
    </w:p>
    <w:p w:rsidR="000B64F1" w:rsidRDefault="000B64F1" w:rsidP="000B64F1">
      <w:pPr>
        <w:ind w:left="70"/>
      </w:pPr>
      <w:r>
        <w:t>Todos os activos e passivos expressos em moeda estrangeira são convertidos para euros utilizando-se as taxas de câmbio vigentes à data do balanço.</w:t>
      </w:r>
    </w:p>
    <w:p w:rsidR="000B64F1" w:rsidRDefault="000B64F1" w:rsidP="000B64F1">
      <w:pPr>
        <w:ind w:left="70"/>
      </w:pPr>
    </w:p>
    <w:p w:rsidR="000B64F1" w:rsidRDefault="000B64F1" w:rsidP="000B64F1">
      <w:pPr>
        <w:ind w:left="70"/>
      </w:pPr>
      <w:r>
        <w:t xml:space="preserve">As transacções em moeda estrangeira são convertidas em euros aos câmbios oficiais vigentes à data da operação [ou, utilizando taxas de câmbio que se aproximam das taxas oficiais vigentes à data da operação]. </w:t>
      </w:r>
    </w:p>
    <w:p w:rsidR="000B64F1" w:rsidRDefault="000B64F1" w:rsidP="000B64F1">
      <w:pPr>
        <w:ind w:left="70"/>
      </w:pPr>
    </w:p>
    <w:p w:rsidR="000B64F1" w:rsidRDefault="000B64F1" w:rsidP="000B64F1">
      <w:pPr>
        <w:ind w:left="70"/>
      </w:pPr>
      <w:r>
        <w:t>As diferenças de câmbio realizadas no exercício, bem como as potenciais apuradas nos saldos existentes na data do balanço, integram os resultados correntes do exercício [excepto as que se relacionam com o financiamento de imobilizações corpóreas, as quais são diferidas para posterior depreciação / amortização ao longo da vida útil estimada dos bens adquiridos].</w:t>
      </w:r>
    </w:p>
    <w:p w:rsidR="000B64F1" w:rsidRDefault="000B64F1" w:rsidP="000B64F1"/>
    <w:p w:rsidR="000B64F1" w:rsidRDefault="000B64F1" w:rsidP="000B64F1">
      <w:pPr>
        <w:pStyle w:val="Ttulo2"/>
      </w:pPr>
      <w:r>
        <w:lastRenderedPageBreak/>
        <w:t>3.2. Outras políticas contabilísticas relevantes</w:t>
      </w:r>
    </w:p>
    <w:p w:rsidR="000B64F1" w:rsidRDefault="000B64F1" w:rsidP="000B64F1">
      <w:r>
        <w:t>...</w:t>
      </w:r>
    </w:p>
    <w:p w:rsidR="000B64F1" w:rsidRDefault="000B64F1" w:rsidP="000B64F1">
      <w:pPr>
        <w:pStyle w:val="Ttulo2"/>
      </w:pPr>
      <w:r>
        <w:t>3.3. Principais pressupostos relativos ao futuro</w:t>
      </w:r>
    </w:p>
    <w:p w:rsidR="000B64F1" w:rsidRDefault="000B64F1" w:rsidP="000B64F1">
      <w:pPr>
        <w:rPr>
          <w:sz w:val="16"/>
          <w:szCs w:val="16"/>
        </w:rPr>
      </w:pPr>
      <w:r>
        <w:t>Principais pressupostos relativos ao futuro (envolvendo risco significativo de provocar ajustamento material nas quantias escrituradas de activos e passivos durante o ano financeiro seguinte)</w:t>
      </w:r>
    </w:p>
    <w:p w:rsidR="000B64F1" w:rsidRDefault="000B64F1" w:rsidP="000B64F1"/>
    <w:p w:rsidR="000B64F1" w:rsidRDefault="000B64F1" w:rsidP="000B64F1">
      <w:pPr>
        <w:pStyle w:val="Ttulo2"/>
      </w:pPr>
      <w:r>
        <w:t>3.4. Principais fontes de incerteza das estimativas</w:t>
      </w:r>
    </w:p>
    <w:p w:rsidR="000B64F1" w:rsidRDefault="000B64F1" w:rsidP="000B64F1">
      <w:pPr>
        <w:spacing w:before="120" w:after="120"/>
        <w:ind w:left="68"/>
      </w:pPr>
      <w:r>
        <w:t>Principais fontes de incerteza das estimativas (envolvendo risco significativo de provocar ajustamento material nas quantias escrituradas de activos e passivos durante o ano financeiro seguinte)</w:t>
      </w:r>
    </w:p>
    <w:p w:rsidR="000B64F1" w:rsidRDefault="000B64F1" w:rsidP="000B64F1"/>
    <w:p w:rsidR="000B64F1" w:rsidRDefault="000B64F1" w:rsidP="000B64F1">
      <w:pPr>
        <w:pStyle w:val="Ttulo1"/>
      </w:pPr>
      <w:r>
        <w:t>4. Políticas contabilísticas, alterações nas estimativas contabilísticas e erros</w:t>
      </w:r>
    </w:p>
    <w:p w:rsidR="000B64F1" w:rsidRDefault="000B64F1" w:rsidP="000B64F1">
      <w:pPr>
        <w:pStyle w:val="Ttulo2"/>
      </w:pPr>
      <w:r>
        <w:t>4.1. Aplicação</w:t>
      </w:r>
    </w:p>
    <w:p w:rsidR="000B64F1" w:rsidRDefault="000B64F1" w:rsidP="000B64F1">
      <w:r>
        <w:t>Quando a aplicação de uma disposição desta norma tiver efeitos no período corrente ou em qualquer período anterior, salvo se for impraticável determinar a quantia do ajustamento, ou puder ter efeitos em períodos futuros, uma entidade deve divulgar apenas nas demonstrações financeiras do período corrente:</w:t>
      </w:r>
    </w:p>
    <w:p w:rsidR="000B64F1" w:rsidRDefault="000B64F1" w:rsidP="000B64F1">
      <w:pPr>
        <w:rPr>
          <w:i/>
          <w:iCs/>
        </w:rPr>
      </w:pPr>
    </w:p>
    <w:p w:rsidR="000B64F1" w:rsidRDefault="000B64F1" w:rsidP="000B64F1">
      <w:r>
        <w:rPr>
          <w:i/>
          <w:iCs/>
        </w:rPr>
        <w:t>a</w:t>
      </w:r>
      <w:r>
        <w:t>) A natureza da alteração na política contabilística;</w:t>
      </w:r>
    </w:p>
    <w:p w:rsidR="000B64F1" w:rsidRDefault="000B64F1" w:rsidP="000B64F1">
      <w:r>
        <w:rPr>
          <w:i/>
          <w:iCs/>
        </w:rPr>
        <w:t>b</w:t>
      </w:r>
      <w:r>
        <w:t>) A natureza do erro material de período anterior e seus impactos nas demonstrações financeiras desses períodos;</w:t>
      </w:r>
    </w:p>
    <w:p w:rsidR="000B64F1" w:rsidRDefault="000B64F1" w:rsidP="000B64F1">
      <w:r>
        <w:rPr>
          <w:i/>
          <w:iCs/>
        </w:rPr>
        <w:t>c</w:t>
      </w:r>
      <w:r>
        <w:t>) A quantia de ajustamento relacionado com o período corrente ou períodos anteriores aos apresentados, até ao ponto que seja praticável; e</w:t>
      </w:r>
    </w:p>
    <w:p w:rsidR="000B64F1" w:rsidRDefault="000B64F1" w:rsidP="000B64F1">
      <w:r>
        <w:rPr>
          <w:i/>
          <w:iCs/>
        </w:rPr>
        <w:t>d</w:t>
      </w:r>
      <w:r>
        <w:t>) As razões pelas quais a aplicação da nova política contabilística proporciona informação fiável e mais relevante, no caso de aplicação voluntária.</w:t>
      </w:r>
    </w:p>
    <w:p w:rsidR="000B64F1" w:rsidRDefault="000B64F1" w:rsidP="000B64F1"/>
    <w:p w:rsidR="000B64F1" w:rsidRDefault="000B64F1" w:rsidP="000B64F1">
      <w:pPr>
        <w:pStyle w:val="Ttulo1"/>
      </w:pPr>
      <w:r>
        <w:t>5. Activos fixos tangíveis</w:t>
      </w:r>
    </w:p>
    <w:p w:rsidR="000B64F1" w:rsidRDefault="000B64F1" w:rsidP="000B64F1">
      <w:pPr>
        <w:pStyle w:val="Ttulo2"/>
      </w:pPr>
      <w:r>
        <w:t>5.1. Divulgações gerais</w:t>
      </w:r>
    </w:p>
    <w:p w:rsidR="000B64F1" w:rsidRDefault="000B64F1" w:rsidP="000B64F1">
      <w:r>
        <w:t xml:space="preserve">A mensuração inicial dos activos fixos tangíveis baseou-se no método do custo. A mensuração subsequente baseou-se no modelo do custo </w:t>
      </w:r>
      <w:proofErr w:type="gramStart"/>
      <w:r>
        <w:t>[(e</w:t>
      </w:r>
      <w:proofErr w:type="gramEnd"/>
      <w:r>
        <w:t>/ou modelo de revalorização)].</w:t>
      </w:r>
    </w:p>
    <w:p w:rsidR="000B64F1" w:rsidRDefault="000B64F1" w:rsidP="000B64F1">
      <w:pPr>
        <w:rPr>
          <w:i/>
          <w:iCs/>
        </w:rPr>
      </w:pPr>
    </w:p>
    <w:p w:rsidR="000B64F1" w:rsidRDefault="000B64F1" w:rsidP="000B64F1">
      <w:r>
        <w:t xml:space="preserve">As depreciações destes activos são calculadas segundo o método das quotas constantes </w:t>
      </w:r>
      <w:proofErr w:type="gramStart"/>
      <w:r>
        <w:t>[(e</w:t>
      </w:r>
      <w:proofErr w:type="gramEnd"/>
      <w:r>
        <w:t xml:space="preserve">/ou, para os bens adquiridos a partir do exercício de ...., o método das quotas degressivas)], utilizando-se para o efeito as taxas máximas [(ou mínimas)] definidas na Portaria 737/81, de 29 de Agosto para bens adquiridos antes de 1 de Janeiro de 1989, no Decreto Regulamentar 2/90 de 12 de Janeiro para bens adquiridos entre 1 de Janeiro de 1989 e 31 de </w:t>
      </w:r>
      <w:r>
        <w:lastRenderedPageBreak/>
        <w:t>Dezembro de 2009 [e/ou] no Decreto Regulamentar 25/2009 de 14 de Setembro para bens adquiridos após 1 de Janeiro de 2010, que se consideram representarem satisfatoriamente a vida útil estimada dos bens.</w:t>
      </w:r>
    </w:p>
    <w:p w:rsidR="000B64F1" w:rsidRDefault="000B64F1" w:rsidP="000B64F1"/>
    <w:p w:rsidR="000B64F1" w:rsidRDefault="000B64F1" w:rsidP="000B64F1">
      <w:r>
        <w:t xml:space="preserve">O processo de depreciação inicia-se no começo do exercício em que o respectivo bem entrou em funcionamento </w:t>
      </w:r>
      <w:proofErr w:type="gramStart"/>
      <w:r>
        <w:t>[(ou</w:t>
      </w:r>
      <w:proofErr w:type="gramEnd"/>
      <w:r>
        <w:t xml:space="preserve"> no mês / mês seguinte àquele em que o bem entrou em funcionamento)].</w:t>
      </w:r>
    </w:p>
    <w:p w:rsidR="000B64F1" w:rsidRDefault="000B64F1" w:rsidP="000B64F1"/>
    <w:p w:rsidR="000B64F1" w:rsidRDefault="000B64F1" w:rsidP="000B64F1">
      <w:r>
        <w:rPr>
          <w:color w:val="151515"/>
        </w:rPr>
        <w:t>Apresenta-se, no quadro seguinte, um resumo da valorização das várias classes de activos fixos tangíveis:</w:t>
      </w:r>
    </w:p>
    <w:p w:rsidR="000B64F1" w:rsidRDefault="000B64F1" w:rsidP="000B64F1"/>
    <w:p w:rsidR="000B64F1" w:rsidRDefault="000B64F1" w:rsidP="000B64F1">
      <w:pPr>
        <w:pStyle w:val="Ttulo2"/>
      </w:pPr>
      <w:r>
        <w:t>5.2. Valorização das várias classes</w:t>
      </w:r>
    </w:p>
    <w:tbl>
      <w:tblPr>
        <w:tblW w:w="0" w:type="auto"/>
        <w:tblInd w:w="55" w:type="dxa"/>
        <w:tblCellMar>
          <w:left w:w="70" w:type="dxa"/>
          <w:right w:w="70" w:type="dxa"/>
        </w:tblCellMar>
        <w:tblLook w:val="04A0"/>
      </w:tblPr>
      <w:tblGrid>
        <w:gridCol w:w="851"/>
        <w:gridCol w:w="1985"/>
        <w:gridCol w:w="1021"/>
        <w:gridCol w:w="1058"/>
        <w:gridCol w:w="1021"/>
        <w:gridCol w:w="1021"/>
        <w:gridCol w:w="1193"/>
        <w:gridCol w:w="1021"/>
        <w:gridCol w:w="1021"/>
      </w:tblGrid>
      <w:tr w:rsidR="000B64F1" w:rsidTr="000B64F1">
        <w:trPr>
          <w:trHeight w:val="435"/>
        </w:trPr>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Classe de activos \ Valores apurados</w:t>
            </w:r>
          </w:p>
        </w:tc>
        <w:tc>
          <w:tcPr>
            <w:tcW w:w="1021"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Terrenos e recursos naturais</w:t>
            </w:r>
          </w:p>
        </w:tc>
        <w:tc>
          <w:tcPr>
            <w:tcW w:w="1021"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Edifícios e outras construções</w:t>
            </w:r>
          </w:p>
        </w:tc>
        <w:tc>
          <w:tcPr>
            <w:tcW w:w="1021"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proofErr w:type="spellStart"/>
            <w:r>
              <w:rPr>
                <w:rFonts w:ascii="Microsoft Sans Serif" w:hAnsi="Microsoft Sans Serif" w:cs="Microsoft Sans Serif"/>
                <w:b/>
                <w:bCs/>
                <w:sz w:val="17"/>
                <w:szCs w:val="17"/>
              </w:rPr>
              <w:t>Equip</w:t>
            </w:r>
            <w:proofErr w:type="spellEnd"/>
            <w:r>
              <w:rPr>
                <w:rFonts w:ascii="Microsoft Sans Serif" w:hAnsi="Microsoft Sans Serif" w:cs="Microsoft Sans Serif"/>
                <w:b/>
                <w:bCs/>
                <w:sz w:val="17"/>
                <w:szCs w:val="17"/>
              </w:rPr>
              <w:t xml:space="preserve">. </w:t>
            </w:r>
            <w:proofErr w:type="gramStart"/>
            <w:r>
              <w:rPr>
                <w:rFonts w:ascii="Microsoft Sans Serif" w:hAnsi="Microsoft Sans Serif" w:cs="Microsoft Sans Serif"/>
                <w:b/>
                <w:bCs/>
                <w:sz w:val="17"/>
                <w:szCs w:val="17"/>
              </w:rPr>
              <w:t>básico</w:t>
            </w:r>
            <w:proofErr w:type="gramEnd"/>
          </w:p>
        </w:tc>
        <w:tc>
          <w:tcPr>
            <w:tcW w:w="1021"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proofErr w:type="spellStart"/>
            <w:r>
              <w:rPr>
                <w:rFonts w:ascii="Microsoft Sans Serif" w:hAnsi="Microsoft Sans Serif" w:cs="Microsoft Sans Serif"/>
                <w:b/>
                <w:bCs/>
                <w:sz w:val="17"/>
                <w:szCs w:val="17"/>
              </w:rPr>
              <w:t>Equip</w:t>
            </w:r>
            <w:proofErr w:type="spellEnd"/>
            <w:r>
              <w:rPr>
                <w:rFonts w:ascii="Microsoft Sans Serif" w:hAnsi="Microsoft Sans Serif" w:cs="Microsoft Sans Serif"/>
                <w:b/>
                <w:bCs/>
                <w:sz w:val="17"/>
                <w:szCs w:val="17"/>
              </w:rPr>
              <w:t xml:space="preserve">. </w:t>
            </w:r>
            <w:proofErr w:type="gramStart"/>
            <w:r>
              <w:rPr>
                <w:rFonts w:ascii="Microsoft Sans Serif" w:hAnsi="Microsoft Sans Serif" w:cs="Microsoft Sans Serif"/>
                <w:b/>
                <w:bCs/>
                <w:sz w:val="17"/>
                <w:szCs w:val="17"/>
              </w:rPr>
              <w:t>de</w:t>
            </w:r>
            <w:proofErr w:type="gramEnd"/>
            <w:r>
              <w:rPr>
                <w:rFonts w:ascii="Microsoft Sans Serif" w:hAnsi="Microsoft Sans Serif" w:cs="Microsoft Sans Serif"/>
                <w:b/>
                <w:bCs/>
                <w:sz w:val="17"/>
                <w:szCs w:val="17"/>
              </w:rPr>
              <w:t xml:space="preserve"> transporte</w:t>
            </w:r>
          </w:p>
        </w:tc>
        <w:tc>
          <w:tcPr>
            <w:tcW w:w="1021"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proofErr w:type="spellStart"/>
            <w:r>
              <w:rPr>
                <w:rFonts w:ascii="Microsoft Sans Serif" w:hAnsi="Microsoft Sans Serif" w:cs="Microsoft Sans Serif"/>
                <w:b/>
                <w:bCs/>
                <w:sz w:val="17"/>
                <w:szCs w:val="17"/>
              </w:rPr>
              <w:t>Equip</w:t>
            </w:r>
            <w:proofErr w:type="spellEnd"/>
            <w:r>
              <w:rPr>
                <w:rFonts w:ascii="Microsoft Sans Serif" w:hAnsi="Microsoft Sans Serif" w:cs="Microsoft Sans Serif"/>
                <w:b/>
                <w:bCs/>
                <w:sz w:val="17"/>
                <w:szCs w:val="17"/>
              </w:rPr>
              <w:t xml:space="preserve">. </w:t>
            </w:r>
            <w:proofErr w:type="gramStart"/>
            <w:r>
              <w:rPr>
                <w:rFonts w:ascii="Microsoft Sans Serif" w:hAnsi="Microsoft Sans Serif" w:cs="Microsoft Sans Serif"/>
                <w:b/>
                <w:bCs/>
                <w:sz w:val="17"/>
                <w:szCs w:val="17"/>
              </w:rPr>
              <w:t>administrativo</w:t>
            </w:r>
            <w:proofErr w:type="gramEnd"/>
          </w:p>
        </w:tc>
        <w:tc>
          <w:tcPr>
            <w:tcW w:w="1021"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proofErr w:type="spellStart"/>
            <w:r>
              <w:rPr>
                <w:rFonts w:ascii="Microsoft Sans Serif" w:hAnsi="Microsoft Sans Serif" w:cs="Microsoft Sans Serif"/>
                <w:b/>
                <w:bCs/>
                <w:sz w:val="17"/>
                <w:szCs w:val="17"/>
              </w:rPr>
              <w:t>Equip</w:t>
            </w:r>
            <w:proofErr w:type="spellEnd"/>
            <w:r>
              <w:rPr>
                <w:rFonts w:ascii="Microsoft Sans Serif" w:hAnsi="Microsoft Sans Serif" w:cs="Microsoft Sans Serif"/>
                <w:b/>
                <w:bCs/>
                <w:sz w:val="17"/>
                <w:szCs w:val="17"/>
              </w:rPr>
              <w:t xml:space="preserve">. </w:t>
            </w:r>
            <w:proofErr w:type="gramStart"/>
            <w:r>
              <w:rPr>
                <w:rFonts w:ascii="Microsoft Sans Serif" w:hAnsi="Microsoft Sans Serif" w:cs="Microsoft Sans Serif"/>
                <w:b/>
                <w:bCs/>
                <w:sz w:val="17"/>
                <w:szCs w:val="17"/>
              </w:rPr>
              <w:t>biológicos</w:t>
            </w:r>
            <w:proofErr w:type="gramEnd"/>
          </w:p>
        </w:tc>
        <w:tc>
          <w:tcPr>
            <w:tcW w:w="1021"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Outros activos fixos tangíveis</w:t>
            </w:r>
          </w:p>
        </w:tc>
      </w:tr>
      <w:tr w:rsidR="000B64F1" w:rsidTr="000B64F1">
        <w:trPr>
          <w:trHeight w:val="300"/>
        </w:trPr>
        <w:tc>
          <w:tcPr>
            <w:tcW w:w="851" w:type="dxa"/>
            <w:vMerge w:val="restart"/>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Início do período</w:t>
            </w: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Valor bruto escriturado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Amortização acumulada + perdas por imparidade</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val="restart"/>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Período</w:t>
            </w: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Aquisições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Alienações</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Activos classificados como detidos p/ venda</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Amortização do período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Perdas por imparidade</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Revalorizações</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Outras alterações</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val="restart"/>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Fim do período</w:t>
            </w: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Valor bruto escriturado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985"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Amortização acumulada (</w:t>
            </w:r>
            <w:proofErr w:type="spellStart"/>
            <w:r>
              <w:rPr>
                <w:rFonts w:ascii="Microsoft Sans Serif" w:hAnsi="Microsoft Sans Serif" w:cs="Microsoft Sans Serif"/>
                <w:sz w:val="17"/>
                <w:szCs w:val="17"/>
              </w:rPr>
              <w:t>incl</w:t>
            </w:r>
            <w:proofErr w:type="spellEnd"/>
            <w:r>
              <w:rPr>
                <w:rFonts w:ascii="Microsoft Sans Serif" w:hAnsi="Microsoft Sans Serif" w:cs="Microsoft Sans Serif"/>
                <w:sz w:val="17"/>
                <w:szCs w:val="17"/>
              </w:rPr>
              <w:t>. Perdas por imparidade acumuladas)</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5.3. Restrições de titularidade, activos dados como garantia de passivos e compromissos contratuais assumidos</w:t>
      </w:r>
    </w:p>
    <w:p w:rsidR="000B64F1" w:rsidRDefault="000B64F1" w:rsidP="000B64F1">
      <w:pPr>
        <w:pStyle w:val="Textodecomentrio"/>
        <w:rPr>
          <w:color w:val="auto"/>
          <w:sz w:val="18"/>
          <w:szCs w:val="18"/>
        </w:rPr>
      </w:pPr>
      <w:r>
        <w:rPr>
          <w:sz w:val="18"/>
          <w:szCs w:val="18"/>
        </w:rPr>
        <w:t xml:space="preserve">Os quadros seguintes evidenciam activos intangíveis cuja titularidade está restringida e activos intangíveis que foram dados como garantia de passivos, respectivamente. </w:t>
      </w:r>
    </w:p>
    <w:p w:rsidR="000B64F1" w:rsidRDefault="000B64F1" w:rsidP="000B64F1"/>
    <w:p w:rsidR="000B64F1" w:rsidRDefault="000B64F1" w:rsidP="000B64F1">
      <w:pPr>
        <w:pStyle w:val="Ttulo2"/>
      </w:pPr>
    </w:p>
    <w:p w:rsidR="000B64F1" w:rsidRDefault="000B64F1" w:rsidP="000B64F1">
      <w:pPr>
        <w:pStyle w:val="Ttulo2"/>
      </w:pPr>
    </w:p>
    <w:p w:rsidR="000B64F1" w:rsidRDefault="000B64F1" w:rsidP="000B64F1">
      <w:pPr>
        <w:pStyle w:val="Ttulo2"/>
      </w:pPr>
      <w:r>
        <w:t>5.4. Titularidade e garantia</w:t>
      </w:r>
    </w:p>
    <w:tbl>
      <w:tblPr>
        <w:tblW w:w="6420" w:type="dxa"/>
        <w:tblInd w:w="55" w:type="dxa"/>
        <w:tblCellMar>
          <w:left w:w="70" w:type="dxa"/>
          <w:right w:w="70" w:type="dxa"/>
        </w:tblCellMar>
        <w:tblLook w:val="04A0"/>
      </w:tblPr>
      <w:tblGrid>
        <w:gridCol w:w="4600"/>
        <w:gridCol w:w="1820"/>
      </w:tblGrid>
      <w:tr w:rsidR="000B64F1" w:rsidTr="000B64F1">
        <w:trPr>
          <w:trHeight w:val="300"/>
        </w:trPr>
        <w:tc>
          <w:tcPr>
            <w:tcW w:w="4600"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Activo fixo tangível cuja titularidade está restringida</w:t>
            </w:r>
          </w:p>
        </w:tc>
        <w:tc>
          <w:tcPr>
            <w:tcW w:w="182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Quantia escriturada</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820"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r>
      <w:tr w:rsidR="000B64F1" w:rsidTr="000B64F1">
        <w:trPr>
          <w:trHeight w:val="300"/>
        </w:trPr>
        <w:tc>
          <w:tcPr>
            <w:tcW w:w="4600"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Activo fixo tangível dado como garantia de passivos</w:t>
            </w:r>
          </w:p>
        </w:tc>
        <w:tc>
          <w:tcPr>
            <w:tcW w:w="182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Quantia escriturada</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5.5. Activos fixos tangíveis expressos por quantias revalorizadas</w:t>
      </w:r>
    </w:p>
    <w:p w:rsidR="000B64F1" w:rsidRDefault="000B64F1" w:rsidP="000B64F1">
      <w:r>
        <w:t xml:space="preserve">Foi apurado, no período, um excedente de revalorização dos activos fixos tangíveis no valor de ………, em </w:t>
      </w:r>
      <w:proofErr w:type="gramStart"/>
      <w:r>
        <w:t>[(data</w:t>
      </w:r>
      <w:proofErr w:type="gramEnd"/>
      <w:r>
        <w:t xml:space="preserve"> de eficácia da revalorização)], sendo o saldo final de……..</w:t>
      </w:r>
    </w:p>
    <w:p w:rsidR="000B64F1" w:rsidRDefault="000B64F1" w:rsidP="000B64F1"/>
    <w:p w:rsidR="000B64F1" w:rsidRDefault="000B64F1" w:rsidP="000B64F1">
      <w:r>
        <w:t xml:space="preserve">Para determinação dos valores, recorreu-se a avaliadores independentes </w:t>
      </w:r>
      <w:proofErr w:type="gramStart"/>
      <w:r>
        <w:t>[(e</w:t>
      </w:r>
      <w:proofErr w:type="gramEnd"/>
      <w:r>
        <w:t>/ou</w:t>
      </w:r>
    </w:p>
    <w:p w:rsidR="000B64F1" w:rsidRDefault="000B64F1" w:rsidP="000B64F1">
      <w:r>
        <w:t xml:space="preserve"> </w:t>
      </w:r>
      <w:proofErr w:type="gramStart"/>
      <w:r>
        <w:t>o</w:t>
      </w:r>
      <w:proofErr w:type="gramEnd"/>
      <w:r>
        <w:t xml:space="preserve"> justo valor dos itens foi determinado por referência a </w:t>
      </w:r>
      <w:r>
        <w:rPr>
          <w:color w:val="151515"/>
        </w:rPr>
        <w:t>preços observáveis num mercado activo (e/ou) em transacções de mercado recentes numa base de não relacionamento entre as partes (e/ou) foi estimado usando outras técnicas de valorização, nomeadamente,…)].</w:t>
      </w:r>
    </w:p>
    <w:p w:rsidR="000B64F1" w:rsidRDefault="000B64F1" w:rsidP="000B64F1"/>
    <w:p w:rsidR="000B64F1" w:rsidRDefault="000B64F1" w:rsidP="000B64F1">
      <w:r>
        <w:t xml:space="preserve">Para efeitos de distribuição de resultados aos accionistas, este saldo não é considerado </w:t>
      </w:r>
      <w:proofErr w:type="gramStart"/>
      <w:r>
        <w:t>[(e</w:t>
      </w:r>
      <w:proofErr w:type="gramEnd"/>
      <w:r>
        <w:t>/ou não existe qualquer restrição não distribuição do saldo aos accionistas)].</w:t>
      </w:r>
    </w:p>
    <w:p w:rsidR="000B64F1" w:rsidRDefault="000B64F1" w:rsidP="000B64F1"/>
    <w:p w:rsidR="000B64F1" w:rsidRDefault="000B64F1" w:rsidP="000B64F1">
      <w:pPr>
        <w:pStyle w:val="Ttulo1"/>
      </w:pPr>
      <w:r>
        <w:lastRenderedPageBreak/>
        <w:t>6. Activos intangíveis</w:t>
      </w:r>
    </w:p>
    <w:p w:rsidR="000B64F1" w:rsidRDefault="000B64F1" w:rsidP="000B64F1">
      <w:pPr>
        <w:pStyle w:val="Ttulo2"/>
      </w:pPr>
      <w:r>
        <w:t>6.1. Divulgações gerais</w:t>
      </w:r>
    </w:p>
    <w:p w:rsidR="000B64F1" w:rsidRDefault="000B64F1" w:rsidP="000B64F1">
      <w:r>
        <w:rPr>
          <w:color w:val="151515"/>
        </w:rPr>
        <w:t>Apresenta-se, no quadro seguinte, um resumo da valorização das várias classes de activos intangíveis:</w:t>
      </w:r>
    </w:p>
    <w:p w:rsidR="000B64F1" w:rsidRDefault="000B64F1" w:rsidP="000B64F1">
      <w:pPr>
        <w:pStyle w:val="Ttulo2"/>
      </w:pPr>
      <w:r>
        <w:t>6.2. Valorização das várias classes</w:t>
      </w:r>
    </w:p>
    <w:tbl>
      <w:tblPr>
        <w:tblW w:w="9639" w:type="dxa"/>
        <w:tblInd w:w="55" w:type="dxa"/>
        <w:tblCellMar>
          <w:left w:w="70" w:type="dxa"/>
          <w:right w:w="70" w:type="dxa"/>
        </w:tblCellMar>
        <w:tblLook w:val="04A0"/>
      </w:tblPr>
      <w:tblGrid>
        <w:gridCol w:w="964"/>
        <w:gridCol w:w="1927"/>
        <w:gridCol w:w="1285"/>
        <w:gridCol w:w="1608"/>
        <w:gridCol w:w="1285"/>
        <w:gridCol w:w="1285"/>
        <w:gridCol w:w="1285"/>
      </w:tblGrid>
      <w:tr w:rsidR="000B64F1" w:rsidTr="000B64F1">
        <w:trPr>
          <w:trHeight w:val="630"/>
        </w:trPr>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Classe de activos \ Valores apurados</w:t>
            </w:r>
          </w:p>
        </w:tc>
        <w:tc>
          <w:tcPr>
            <w:tcW w:w="1134"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proofErr w:type="spellStart"/>
            <w:r>
              <w:rPr>
                <w:rFonts w:ascii="Microsoft Sans Serif" w:hAnsi="Microsoft Sans Serif" w:cs="Microsoft Sans Serif"/>
                <w:b/>
                <w:bCs/>
                <w:sz w:val="17"/>
                <w:szCs w:val="17"/>
              </w:rPr>
              <w:t>Goodwill</w:t>
            </w:r>
            <w:proofErr w:type="spellEnd"/>
          </w:p>
        </w:tc>
        <w:tc>
          <w:tcPr>
            <w:tcW w:w="1134"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Projectos de desenvolvimento</w:t>
            </w:r>
          </w:p>
        </w:tc>
        <w:tc>
          <w:tcPr>
            <w:tcW w:w="1134"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Programas de computador</w:t>
            </w:r>
          </w:p>
        </w:tc>
        <w:tc>
          <w:tcPr>
            <w:tcW w:w="1134"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Propriedade industrial</w:t>
            </w:r>
          </w:p>
        </w:tc>
        <w:tc>
          <w:tcPr>
            <w:tcW w:w="1134" w:type="dxa"/>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Outros activos intangíveis</w:t>
            </w:r>
          </w:p>
        </w:tc>
      </w:tr>
      <w:tr w:rsidR="000B64F1" w:rsidTr="000B64F1">
        <w:trPr>
          <w:trHeight w:val="300"/>
        </w:trPr>
        <w:tc>
          <w:tcPr>
            <w:tcW w:w="851" w:type="dxa"/>
            <w:vMerge w:val="restart"/>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Início do período</w:t>
            </w: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Vida útil</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Taxa de </w:t>
            </w:r>
            <w:proofErr w:type="spellStart"/>
            <w:r>
              <w:rPr>
                <w:rFonts w:ascii="Microsoft Sans Serif" w:hAnsi="Microsoft Sans Serif" w:cs="Microsoft Sans Serif"/>
                <w:sz w:val="17"/>
                <w:szCs w:val="17"/>
              </w:rPr>
              <w:t>amortização*</w:t>
            </w:r>
            <w:proofErr w:type="spellEnd"/>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Método de </w:t>
            </w:r>
            <w:proofErr w:type="spellStart"/>
            <w:r>
              <w:rPr>
                <w:rFonts w:ascii="Microsoft Sans Serif" w:hAnsi="Microsoft Sans Serif" w:cs="Microsoft Sans Serif"/>
                <w:sz w:val="17"/>
                <w:szCs w:val="17"/>
              </w:rPr>
              <w:t>amortização*</w:t>
            </w:r>
            <w:proofErr w:type="spellEnd"/>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Valor bruto escriturado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Amortização acumulada + perdas por imparidade</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val="restart"/>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Período</w:t>
            </w: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Aquisições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Alienações</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Activos classificados como detidos p/ venda</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Amortização do período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Perdas por imparidade</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Outras alterações</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val="restart"/>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Fim do período</w:t>
            </w: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xml:space="preserve">Valor bruto escriturado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851" w:type="dxa"/>
            <w:vMerge/>
            <w:tcBorders>
              <w:top w:val="nil"/>
              <w:left w:val="single" w:sz="4" w:space="0" w:color="000000"/>
              <w:bottom w:val="single" w:sz="4" w:space="0" w:color="000000"/>
              <w:right w:val="single" w:sz="4" w:space="0" w:color="000000"/>
            </w:tcBorders>
            <w:vAlign w:val="center"/>
            <w:hideMark/>
          </w:tcPr>
          <w:p w:rsidR="000B64F1" w:rsidRDefault="000B64F1">
            <w:pPr>
              <w:rPr>
                <w:rFonts w:ascii="Microsoft Sans Serif" w:hAnsi="Microsoft Sans Serif" w:cs="Microsoft Sans Serif"/>
                <w:b/>
                <w:bCs/>
                <w:sz w:val="17"/>
                <w:szCs w:val="17"/>
              </w:rPr>
            </w:pPr>
          </w:p>
        </w:tc>
        <w:tc>
          <w:tcPr>
            <w:tcW w:w="1701"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Amortização acumulada (</w:t>
            </w:r>
            <w:proofErr w:type="spellStart"/>
            <w:r>
              <w:rPr>
                <w:rFonts w:ascii="Microsoft Sans Serif" w:hAnsi="Microsoft Sans Serif" w:cs="Microsoft Sans Serif"/>
                <w:sz w:val="17"/>
                <w:szCs w:val="17"/>
              </w:rPr>
              <w:t>incl</w:t>
            </w:r>
            <w:proofErr w:type="spellEnd"/>
            <w:r>
              <w:rPr>
                <w:rFonts w:ascii="Microsoft Sans Serif" w:hAnsi="Microsoft Sans Serif" w:cs="Microsoft Sans Serif"/>
                <w:sz w:val="17"/>
                <w:szCs w:val="17"/>
              </w:rPr>
              <w:t>. Perdas por imparidade acumuladas)</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34"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1134" w:type="dxa"/>
            <w:gridSpan w:val="7"/>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Nota: Caso existam activos intangíveis gerados internamente, o quadro deve evidenciar os seus valores em separado.</w:t>
            </w:r>
          </w:p>
        </w:tc>
      </w:tr>
      <w:tr w:rsidR="000B64F1" w:rsidTr="000B64F1">
        <w:trPr>
          <w:trHeight w:val="300"/>
        </w:trPr>
        <w:tc>
          <w:tcPr>
            <w:tcW w:w="851"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701"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134"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134"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134"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134"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134"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r>
      <w:tr w:rsidR="000B64F1" w:rsidTr="000B64F1">
        <w:trPr>
          <w:trHeight w:val="300"/>
        </w:trPr>
        <w:tc>
          <w:tcPr>
            <w:tcW w:w="1134" w:type="dxa"/>
            <w:gridSpan w:val="4"/>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4"/>
                <w:szCs w:val="14"/>
              </w:rPr>
            </w:pPr>
            <w:r>
              <w:rPr>
                <w:rFonts w:ascii="Microsoft Sans Serif" w:hAnsi="Microsoft Sans Serif" w:cs="Microsoft Sans Serif"/>
                <w:sz w:val="14"/>
                <w:szCs w:val="14"/>
              </w:rPr>
              <w:t>* A preencher apenas nos casos em que a vida útil é finita.</w:t>
            </w:r>
          </w:p>
        </w:tc>
        <w:tc>
          <w:tcPr>
            <w:tcW w:w="1134"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134"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1134"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r>
    </w:tbl>
    <w:p w:rsidR="000B64F1" w:rsidRDefault="000B64F1" w:rsidP="000B64F1">
      <w:pPr>
        <w:pStyle w:val="Ttulo2"/>
      </w:pPr>
      <w:r>
        <w:t>6.3. Activos intangíveis com vida útil indefinida - justificações</w:t>
      </w:r>
    </w:p>
    <w:p w:rsidR="000B64F1" w:rsidRDefault="000B64F1" w:rsidP="000B64F1">
      <w:r>
        <w:t xml:space="preserve">Quantia escriturada de cada activo intangível avaliado como tendo uma vida útil indefinida e razões que apoiam a avaliação de uma vida útil indefinida (com descrição </w:t>
      </w:r>
      <w:proofErr w:type="gramStart"/>
      <w:r>
        <w:t>do(s</w:t>
      </w:r>
      <w:proofErr w:type="gramEnd"/>
      <w:r>
        <w:t>) factor(</w:t>
      </w:r>
      <w:proofErr w:type="spellStart"/>
      <w:r>
        <w:t>es</w:t>
      </w:r>
      <w:proofErr w:type="spellEnd"/>
      <w:r>
        <w:t>) que desempenhou(aram) um papel significativo na determinação de que o activo tem uma vida útil indefinida).</w:t>
      </w:r>
    </w:p>
    <w:p w:rsidR="000B64F1" w:rsidRDefault="000B64F1" w:rsidP="000B64F1"/>
    <w:p w:rsidR="000B64F1" w:rsidRDefault="000B64F1" w:rsidP="000B64F1">
      <w:pPr>
        <w:pStyle w:val="Ttulo2"/>
      </w:pPr>
    </w:p>
    <w:p w:rsidR="000B64F1" w:rsidRDefault="000B64F1" w:rsidP="000B64F1">
      <w:pPr>
        <w:pStyle w:val="Ttulo2"/>
      </w:pPr>
    </w:p>
    <w:p w:rsidR="000B64F1" w:rsidRDefault="000B64F1" w:rsidP="000B64F1">
      <w:pPr>
        <w:pStyle w:val="Ttulo2"/>
      </w:pPr>
      <w:r>
        <w:t>6.4. Quadro</w:t>
      </w:r>
    </w:p>
    <w:tbl>
      <w:tblPr>
        <w:tblW w:w="8700" w:type="dxa"/>
        <w:tblInd w:w="55" w:type="dxa"/>
        <w:tblCellMar>
          <w:left w:w="70" w:type="dxa"/>
          <w:right w:w="70" w:type="dxa"/>
        </w:tblCellMar>
        <w:tblLook w:val="04A0"/>
      </w:tblPr>
      <w:tblGrid>
        <w:gridCol w:w="3820"/>
        <w:gridCol w:w="1820"/>
        <w:gridCol w:w="3060"/>
      </w:tblGrid>
      <w:tr w:rsidR="000B64F1" w:rsidTr="000B64F1">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Activos intangíveis com vida útil indefinida</w:t>
            </w:r>
          </w:p>
        </w:tc>
        <w:tc>
          <w:tcPr>
            <w:tcW w:w="182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Quantia escriturada</w:t>
            </w:r>
          </w:p>
        </w:tc>
        <w:tc>
          <w:tcPr>
            <w:tcW w:w="306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Justificação de vida útil indefinida</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6.5. Activos intangíveis - elementos individuais</w:t>
      </w:r>
    </w:p>
    <w:p w:rsidR="000B64F1" w:rsidRDefault="000B64F1" w:rsidP="000B64F1">
      <w:r>
        <w:rPr>
          <w:color w:val="151515"/>
        </w:rPr>
        <w:t>Os activos intangíveis individuais considerados como materialmente relevantes para as Demonstrações Financeiras são os seguintes:</w:t>
      </w:r>
    </w:p>
    <w:p w:rsidR="000B64F1" w:rsidRDefault="000B64F1" w:rsidP="000B64F1"/>
    <w:p w:rsidR="000B64F1" w:rsidRDefault="000B64F1" w:rsidP="000B64F1"/>
    <w:p w:rsidR="000B64F1" w:rsidRDefault="000B64F1" w:rsidP="000B64F1"/>
    <w:p w:rsidR="000B64F1" w:rsidRDefault="000B64F1" w:rsidP="000B64F1"/>
    <w:p w:rsidR="000B64F1" w:rsidRDefault="000B64F1" w:rsidP="000B64F1">
      <w:pPr>
        <w:pStyle w:val="Ttulo2"/>
      </w:pPr>
      <w:r>
        <w:t>6.6. Quadro 1</w:t>
      </w:r>
    </w:p>
    <w:tbl>
      <w:tblPr>
        <w:tblW w:w="9060" w:type="dxa"/>
        <w:tblInd w:w="55" w:type="dxa"/>
        <w:tblCellMar>
          <w:left w:w="70" w:type="dxa"/>
          <w:right w:w="70" w:type="dxa"/>
        </w:tblCellMar>
        <w:tblLook w:val="04A0"/>
      </w:tblPr>
      <w:tblGrid>
        <w:gridCol w:w="3820"/>
        <w:gridCol w:w="2180"/>
        <w:gridCol w:w="3060"/>
      </w:tblGrid>
      <w:tr w:rsidR="000B64F1" w:rsidTr="000B64F1">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Activo intangível</w:t>
            </w:r>
          </w:p>
        </w:tc>
        <w:tc>
          <w:tcPr>
            <w:tcW w:w="218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Período de amortização</w:t>
            </w:r>
          </w:p>
        </w:tc>
        <w:tc>
          <w:tcPr>
            <w:tcW w:w="306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Quantia escriturada</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8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3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6.7. Activos intangíveis subsidiados pelo governo</w:t>
      </w:r>
    </w:p>
    <w:p w:rsidR="000B64F1" w:rsidRDefault="000B64F1" w:rsidP="000B64F1">
      <w:r>
        <w:t>A seguinte informação evidencia os activos intangíveis adquiridos por meio de um subsídio governamental, tendo sido reconhecidos inicialmente pelo justo valor.</w:t>
      </w:r>
    </w:p>
    <w:p w:rsidR="000B64F1" w:rsidRDefault="000B64F1" w:rsidP="000B64F1"/>
    <w:p w:rsidR="000B64F1" w:rsidRDefault="000B64F1" w:rsidP="000B64F1">
      <w:pPr>
        <w:pStyle w:val="Ttulo2"/>
      </w:pPr>
      <w:r>
        <w:t>6.8. Quadro 2</w:t>
      </w:r>
    </w:p>
    <w:tbl>
      <w:tblPr>
        <w:tblW w:w="7020" w:type="dxa"/>
        <w:tblInd w:w="55" w:type="dxa"/>
        <w:tblCellMar>
          <w:left w:w="70" w:type="dxa"/>
          <w:right w:w="70" w:type="dxa"/>
        </w:tblCellMar>
        <w:tblLook w:val="04A0"/>
      </w:tblPr>
      <w:tblGrid>
        <w:gridCol w:w="1600"/>
        <w:gridCol w:w="1480"/>
        <w:gridCol w:w="1820"/>
        <w:gridCol w:w="2120"/>
      </w:tblGrid>
      <w:tr w:rsidR="000B64F1" w:rsidTr="000B64F1">
        <w:trPr>
          <w:trHeight w:val="300"/>
        </w:trPr>
        <w:tc>
          <w:tcPr>
            <w:tcW w:w="1600"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Activo intangível</w:t>
            </w:r>
          </w:p>
        </w:tc>
        <w:tc>
          <w:tcPr>
            <w:tcW w:w="148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Justo valor</w:t>
            </w:r>
          </w:p>
        </w:tc>
        <w:tc>
          <w:tcPr>
            <w:tcW w:w="182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Quantia escriturada</w:t>
            </w:r>
          </w:p>
        </w:tc>
        <w:tc>
          <w:tcPr>
            <w:tcW w:w="212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Modelo de mensuração</w:t>
            </w:r>
          </w:p>
        </w:tc>
      </w:tr>
      <w:tr w:rsidR="000B64F1" w:rsidTr="000B64F1">
        <w:trPr>
          <w:trHeight w:val="300"/>
        </w:trPr>
        <w:tc>
          <w:tcPr>
            <w:tcW w:w="1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4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1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4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1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4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1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4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1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4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1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4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1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4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160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48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8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1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6.9. Activos intangíveis com titularidade restringida e dados como garantia de passivos</w:t>
      </w:r>
    </w:p>
    <w:p w:rsidR="000B64F1" w:rsidRDefault="000B64F1" w:rsidP="000B64F1">
      <w:r>
        <w:t>As seguintes informações evidenciam activos intangíveis cuja titularidade está restringida e activos intangíveis que foram dados como garantia de passivos, respectivamente.</w:t>
      </w:r>
    </w:p>
    <w:p w:rsidR="000B64F1" w:rsidRDefault="000B64F1" w:rsidP="000B64F1"/>
    <w:p w:rsidR="000B64F1" w:rsidRDefault="000B64F1" w:rsidP="000B64F1"/>
    <w:p w:rsidR="000B64F1" w:rsidRDefault="000B64F1" w:rsidP="000B64F1"/>
    <w:p w:rsidR="000B64F1" w:rsidRDefault="000B64F1" w:rsidP="000B64F1"/>
    <w:p w:rsidR="000B64F1" w:rsidRDefault="000B64F1" w:rsidP="000B64F1">
      <w:pPr>
        <w:pStyle w:val="Ttulo2"/>
      </w:pPr>
      <w:r>
        <w:t>6.10. Quadro 3</w:t>
      </w:r>
    </w:p>
    <w:tbl>
      <w:tblPr>
        <w:tblW w:w="6640" w:type="dxa"/>
        <w:tblInd w:w="55" w:type="dxa"/>
        <w:tblCellMar>
          <w:left w:w="70" w:type="dxa"/>
          <w:right w:w="70" w:type="dxa"/>
        </w:tblCellMar>
        <w:tblLook w:val="04A0"/>
      </w:tblPr>
      <w:tblGrid>
        <w:gridCol w:w="4420"/>
        <w:gridCol w:w="2220"/>
      </w:tblGrid>
      <w:tr w:rsidR="000B64F1" w:rsidTr="000B64F1">
        <w:trPr>
          <w:trHeight w:val="3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Activo intangível cuja titularidade está restringida</w:t>
            </w:r>
          </w:p>
        </w:tc>
        <w:tc>
          <w:tcPr>
            <w:tcW w:w="222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Quantia escriturada</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c>
          <w:tcPr>
            <w:tcW w:w="2220"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r>
      <w:tr w:rsidR="000B64F1" w:rsidTr="000B64F1">
        <w:trPr>
          <w:trHeight w:val="300"/>
        </w:trPr>
        <w:tc>
          <w:tcPr>
            <w:tcW w:w="4420"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p w:rsidR="000B64F1" w:rsidRDefault="000B64F1">
            <w:pPr>
              <w:rPr>
                <w:rFonts w:ascii="Microsoft Sans Serif" w:hAnsi="Microsoft Sans Serif" w:cs="Microsoft Sans Serif"/>
                <w:sz w:val="17"/>
                <w:szCs w:val="17"/>
              </w:rPr>
            </w:pPr>
          </w:p>
          <w:p w:rsidR="000B64F1" w:rsidRDefault="000B64F1">
            <w:pPr>
              <w:rPr>
                <w:rFonts w:ascii="Microsoft Sans Serif" w:hAnsi="Microsoft Sans Serif" w:cs="Microsoft Sans Serif"/>
                <w:sz w:val="17"/>
                <w:szCs w:val="17"/>
              </w:rPr>
            </w:pPr>
          </w:p>
        </w:tc>
        <w:tc>
          <w:tcPr>
            <w:tcW w:w="2220" w:type="dxa"/>
            <w:tcBorders>
              <w:top w:val="nil"/>
              <w:left w:val="nil"/>
              <w:bottom w:val="nil"/>
              <w:right w:val="nil"/>
            </w:tcBorders>
            <w:shd w:val="clear" w:color="auto" w:fill="auto"/>
            <w:noWrap/>
            <w:hideMark/>
          </w:tcPr>
          <w:p w:rsidR="000B64F1" w:rsidRDefault="000B64F1">
            <w:pPr>
              <w:rPr>
                <w:rFonts w:ascii="Microsoft Sans Serif" w:hAnsi="Microsoft Sans Serif" w:cs="Microsoft Sans Serif"/>
                <w:sz w:val="17"/>
                <w:szCs w:val="17"/>
              </w:rPr>
            </w:pPr>
          </w:p>
        </w:tc>
      </w:tr>
      <w:tr w:rsidR="000B64F1" w:rsidTr="000B64F1">
        <w:trPr>
          <w:trHeight w:val="3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lastRenderedPageBreak/>
              <w:t>Activo intangível dado como garantia de passivos</w:t>
            </w:r>
          </w:p>
        </w:tc>
        <w:tc>
          <w:tcPr>
            <w:tcW w:w="222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Quantia escriturada</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442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222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6.11. Activos intangíveis - Valor de compromissos contratuais</w:t>
      </w:r>
    </w:p>
    <w:p w:rsidR="000B64F1" w:rsidRDefault="000B64F1" w:rsidP="000B64F1">
      <w:r>
        <w:rPr>
          <w:color w:val="151515"/>
        </w:rPr>
        <w:t xml:space="preserve">O valor dos compromissos contratuais assumido para aquisição de activos intangíveis é </w:t>
      </w:r>
      <w:proofErr w:type="gramStart"/>
      <w:r>
        <w:rPr>
          <w:color w:val="151515"/>
        </w:rPr>
        <w:t>de……..</w:t>
      </w:r>
      <w:proofErr w:type="gramEnd"/>
    </w:p>
    <w:p w:rsidR="000B64F1" w:rsidRDefault="000B64F1" w:rsidP="000B64F1"/>
    <w:p w:rsidR="000B64F1" w:rsidRDefault="000B64F1" w:rsidP="000B64F1">
      <w:pPr>
        <w:pStyle w:val="Ttulo2"/>
      </w:pPr>
      <w:r>
        <w:t>6.12. Gastos de pesquisa e desenvolvimento</w:t>
      </w:r>
    </w:p>
    <w:p w:rsidR="000B64F1" w:rsidRDefault="000B64F1" w:rsidP="000B64F1">
      <w:r>
        <w:t>O valor dispendido em pesquisa e desenvolvimento reconhecido como gasto durante o período foi de……….</w:t>
      </w:r>
    </w:p>
    <w:p w:rsidR="000B64F1" w:rsidRDefault="000B64F1" w:rsidP="000B64F1"/>
    <w:p w:rsidR="000B64F1" w:rsidRDefault="000B64F1" w:rsidP="000B64F1">
      <w:r>
        <w:t>(incluindo todos os gastos por natureza que foram, face ao seu destino, classificados como gastos de pesquisa e desenvolvimento, bem como os gastos de pesquisa e desenvolvimento que foram capitalizados).</w:t>
      </w:r>
    </w:p>
    <w:p w:rsidR="000B64F1" w:rsidRDefault="000B64F1" w:rsidP="000B64F1"/>
    <w:p w:rsidR="000B64F1" w:rsidRDefault="000B64F1" w:rsidP="000B64F1">
      <w:pPr>
        <w:pStyle w:val="Ttulo2"/>
      </w:pPr>
      <w:r>
        <w:t>6.13. Activos intangíveis de carácter ambiental</w:t>
      </w:r>
    </w:p>
    <w:p w:rsidR="000B64F1" w:rsidRDefault="000B64F1" w:rsidP="000B64F1">
      <w:r>
        <w:rPr>
          <w:i/>
          <w:iCs/>
        </w:rPr>
        <w:t>a</w:t>
      </w:r>
      <w:r>
        <w:t>) Descrição dos critérios de mensuração adoptados, bem como dos métodos utilizados no cálculo dos ajustamentos de valor, no que respeita a matérias ambientais;</w:t>
      </w:r>
    </w:p>
    <w:p w:rsidR="000B64F1" w:rsidRDefault="000B64F1" w:rsidP="000B64F1">
      <w:r>
        <w:rPr>
          <w:i/>
          <w:iCs/>
        </w:rPr>
        <w:t>b</w:t>
      </w:r>
      <w:r>
        <w:t xml:space="preserve">) Os incentivos públicos relacionados com a protecção ambiental, recebidos ou atribuídos à entidade. </w:t>
      </w:r>
    </w:p>
    <w:p w:rsidR="000B64F1" w:rsidRDefault="000B64F1" w:rsidP="000B64F1">
      <w:r>
        <w:t>Especificação das condições associadas à concessão de cada incentivo ou uma síntese das condições, caso sejam semelhantes.</w:t>
      </w:r>
    </w:p>
    <w:p w:rsidR="000B64F1" w:rsidRDefault="000B64F1" w:rsidP="000B64F1">
      <w:r>
        <w:rPr>
          <w:i/>
          <w:iCs/>
        </w:rPr>
        <w:t>c</w:t>
      </w:r>
      <w:r>
        <w:t>) Quantia dos dispêndios de carácter ambiental capitalizadas durante o período de referência na medida em que possa ser estimada com fiabilidade.</w:t>
      </w:r>
    </w:p>
    <w:p w:rsidR="000B64F1" w:rsidRDefault="000B64F1" w:rsidP="000B64F1">
      <w:r>
        <w:rPr>
          <w:i/>
          <w:iCs/>
        </w:rPr>
        <w:t>d</w:t>
      </w:r>
      <w:r>
        <w:t>) Quantia dos dispêndios de carácter ambiental imputados a resultados e base em que tais quantias foram calculadas.</w:t>
      </w:r>
    </w:p>
    <w:p w:rsidR="000B64F1" w:rsidRDefault="000B64F1" w:rsidP="000B64F1">
      <w:r>
        <w:rPr>
          <w:i/>
          <w:iCs/>
        </w:rPr>
        <w:t>e</w:t>
      </w:r>
      <w:r>
        <w:t>) Caso sejam significativos, os dispêndios incorridos com multas e outras penalidades pelo não cumprimento dos regulamentos ambientais e indemnizações pagas a terceiros, por exemplo em resultado de perdas ou danos causados por uma poluição ambiental passada.</w:t>
      </w:r>
    </w:p>
    <w:p w:rsidR="000B64F1" w:rsidRDefault="000B64F1" w:rsidP="000B64F1"/>
    <w:p w:rsidR="000B64F1" w:rsidRDefault="000B64F1" w:rsidP="000B64F1">
      <w:pPr>
        <w:pStyle w:val="Ttulo1"/>
      </w:pPr>
      <w:r>
        <w:lastRenderedPageBreak/>
        <w:t>7. Locações</w:t>
      </w:r>
    </w:p>
    <w:p w:rsidR="000B64F1" w:rsidRDefault="000B64F1" w:rsidP="000B64F1">
      <w:pPr>
        <w:pStyle w:val="Ttulo2"/>
      </w:pPr>
      <w:r>
        <w:t>7.1. Locações financeiras - locatários</w:t>
      </w:r>
    </w:p>
    <w:p w:rsidR="000B64F1" w:rsidRDefault="000B64F1" w:rsidP="000B64F1">
      <w:r>
        <w:t>a) Quantia escriturada líquida à data do balanço</w:t>
      </w:r>
    </w:p>
    <w:p w:rsidR="000B64F1" w:rsidRDefault="000B64F1" w:rsidP="000B64F1"/>
    <w:p w:rsidR="000B64F1" w:rsidRDefault="000B64F1" w:rsidP="000B64F1">
      <w:pPr>
        <w:pStyle w:val="Ttulo2"/>
      </w:pPr>
      <w:r>
        <w:t>7.2. Quantia escriturada líquida</w:t>
      </w:r>
    </w:p>
    <w:tbl>
      <w:tblPr>
        <w:tblW w:w="6800" w:type="dxa"/>
        <w:tblInd w:w="55" w:type="dxa"/>
        <w:tblCellMar>
          <w:left w:w="70" w:type="dxa"/>
          <w:right w:w="70" w:type="dxa"/>
        </w:tblCellMar>
        <w:tblLook w:val="04A0"/>
      </w:tblPr>
      <w:tblGrid>
        <w:gridCol w:w="2740"/>
        <w:gridCol w:w="4060"/>
      </w:tblGrid>
      <w:tr w:rsidR="000B64F1" w:rsidTr="000B64F1">
        <w:trPr>
          <w:trHeight w:val="300"/>
        </w:trPr>
        <w:tc>
          <w:tcPr>
            <w:tcW w:w="2740"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Categoria de activo</w:t>
            </w:r>
          </w:p>
        </w:tc>
        <w:tc>
          <w:tcPr>
            <w:tcW w:w="406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Quantia escriturada líquida à data do balanço</w:t>
            </w:r>
          </w:p>
        </w:tc>
      </w:tr>
      <w:tr w:rsidR="000B64F1" w:rsidTr="000B64F1">
        <w:trPr>
          <w:trHeight w:val="300"/>
        </w:trPr>
        <w:tc>
          <w:tcPr>
            <w:tcW w:w="6800"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Activos fixos tangíveis</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Terrenos e recursos naturais</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Edifícios e outras construções</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Equipamento básico</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Equipamento de transporte</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Equipamento administrativo</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Equipamentos biológicos</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Outros activos fixos tangíveis</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6800"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Activos intangíveis</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Projectos de desenvolvimento</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Programas de computador</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Propriedade industrial</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2740"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Outros activos intangíveis</w:t>
            </w:r>
          </w:p>
        </w:tc>
        <w:tc>
          <w:tcPr>
            <w:tcW w:w="406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7.3. Descrição de acordos de locação</w:t>
      </w:r>
    </w:p>
    <w:p w:rsidR="000B64F1" w:rsidRDefault="000B64F1" w:rsidP="000B64F1">
      <w:r>
        <w:t>Para locações financeiras e operacionais, os locatários devem divulgar uma descrição geral dos acordos de locação significativos incluindo, pelo menos, o seguinte:</w:t>
      </w:r>
    </w:p>
    <w:p w:rsidR="000B64F1" w:rsidRDefault="000B64F1" w:rsidP="000B64F1">
      <w:r>
        <w:rPr>
          <w:i/>
          <w:iCs/>
        </w:rPr>
        <w:t>i</w:t>
      </w:r>
      <w:r>
        <w:t>) A base pela qual é determinada a renda contingente a pagar;</w:t>
      </w:r>
    </w:p>
    <w:p w:rsidR="000B64F1" w:rsidRDefault="000B64F1" w:rsidP="000B64F1">
      <w:proofErr w:type="spellStart"/>
      <w:proofErr w:type="gramStart"/>
      <w:r>
        <w:rPr>
          <w:i/>
          <w:iCs/>
        </w:rPr>
        <w:t>ii</w:t>
      </w:r>
      <w:proofErr w:type="spellEnd"/>
      <w:proofErr w:type="gramEnd"/>
      <w:r>
        <w:t>) A existência e cláusulas de renovação ou de opções de compra e cláusulas de escalonamento; e</w:t>
      </w:r>
    </w:p>
    <w:p w:rsidR="000B64F1" w:rsidRDefault="000B64F1" w:rsidP="000B64F1">
      <w:proofErr w:type="spellStart"/>
      <w:proofErr w:type="gramStart"/>
      <w:r>
        <w:rPr>
          <w:i/>
          <w:iCs/>
        </w:rPr>
        <w:t>iii</w:t>
      </w:r>
      <w:proofErr w:type="spellEnd"/>
      <w:proofErr w:type="gramEnd"/>
      <w:r>
        <w:t>) Restrições impostas por acordos de locação, tais como as que respeitam a dividendos, dívida adicional, e posterior locação.</w:t>
      </w:r>
    </w:p>
    <w:p w:rsidR="000B64F1" w:rsidRDefault="000B64F1" w:rsidP="000B64F1"/>
    <w:p w:rsidR="000B64F1" w:rsidRDefault="000B64F1" w:rsidP="000B64F1">
      <w:pPr>
        <w:pStyle w:val="Ttulo2"/>
      </w:pPr>
      <w:r>
        <w:t>7.4. Divulgações para locações operacionais</w:t>
      </w:r>
    </w:p>
    <w:p w:rsidR="000B64F1" w:rsidRDefault="000B64F1" w:rsidP="000B64F1">
      <w:r>
        <w:t>Os locadores devem fazer as seguintes divulgações para as locações operacionais:</w:t>
      </w:r>
    </w:p>
    <w:p w:rsidR="000B64F1" w:rsidRDefault="000B64F1" w:rsidP="000B64F1">
      <w:r>
        <w:rPr>
          <w:i/>
          <w:iCs/>
        </w:rPr>
        <w:t>a</w:t>
      </w:r>
      <w:r>
        <w:t xml:space="preserve">) Os futuros pagamentos mínimos da locação sob locações operacionais não </w:t>
      </w:r>
      <w:proofErr w:type="gramStart"/>
      <w:r>
        <w:t>canceláveis</w:t>
      </w:r>
      <w:proofErr w:type="gramEnd"/>
      <w:r>
        <w:t xml:space="preserve"> no agregado e para cada um dos períodos seguintes;</w:t>
      </w:r>
    </w:p>
    <w:p w:rsidR="000B64F1" w:rsidRDefault="000B64F1" w:rsidP="000B64F1">
      <w:pPr>
        <w:ind w:firstLine="708"/>
      </w:pPr>
      <w:r>
        <w:rPr>
          <w:i/>
          <w:iCs/>
        </w:rPr>
        <w:t>i</w:t>
      </w:r>
      <w:r>
        <w:t>) Não mais de um ano;</w:t>
      </w:r>
    </w:p>
    <w:p w:rsidR="000B64F1" w:rsidRDefault="000B64F1" w:rsidP="000B64F1">
      <w:pPr>
        <w:ind w:firstLine="708"/>
      </w:pPr>
      <w:proofErr w:type="spellStart"/>
      <w:proofErr w:type="gramStart"/>
      <w:r>
        <w:rPr>
          <w:i/>
          <w:iCs/>
        </w:rPr>
        <w:t>ii</w:t>
      </w:r>
      <w:proofErr w:type="spellEnd"/>
      <w:proofErr w:type="gramEnd"/>
      <w:r>
        <w:t>) Mais de um ano e não mais de cinco anos;</w:t>
      </w:r>
    </w:p>
    <w:p w:rsidR="000B64F1" w:rsidRDefault="000B64F1" w:rsidP="000B64F1">
      <w:pPr>
        <w:ind w:firstLine="708"/>
      </w:pPr>
      <w:proofErr w:type="spellStart"/>
      <w:proofErr w:type="gramStart"/>
      <w:r>
        <w:rPr>
          <w:i/>
          <w:iCs/>
        </w:rPr>
        <w:lastRenderedPageBreak/>
        <w:t>iii</w:t>
      </w:r>
      <w:proofErr w:type="spellEnd"/>
      <w:proofErr w:type="gramEnd"/>
      <w:r>
        <w:t>) Mais de cinco anos;</w:t>
      </w:r>
    </w:p>
    <w:p w:rsidR="000B64F1" w:rsidRDefault="000B64F1" w:rsidP="000B64F1">
      <w:r>
        <w:rPr>
          <w:i/>
          <w:iCs/>
        </w:rPr>
        <w:t>b</w:t>
      </w:r>
      <w:r>
        <w:t>) O total das rendas contingentes reconhecidas como rendimento durante o período;</w:t>
      </w:r>
    </w:p>
    <w:p w:rsidR="000B64F1" w:rsidRDefault="000B64F1" w:rsidP="000B64F1">
      <w:r>
        <w:rPr>
          <w:i/>
          <w:iCs/>
        </w:rPr>
        <w:t>c</w:t>
      </w:r>
      <w:r>
        <w:t>) Uma descrição global dos acordos de locação do locador.</w:t>
      </w:r>
    </w:p>
    <w:p w:rsidR="000B64F1" w:rsidRDefault="000B64F1" w:rsidP="000B64F1"/>
    <w:p w:rsidR="000B64F1" w:rsidRDefault="000B64F1" w:rsidP="000B64F1">
      <w:pPr>
        <w:pStyle w:val="Ttulo1"/>
      </w:pPr>
      <w:r>
        <w:t>8. Custos de empréstimos obtidos</w:t>
      </w:r>
    </w:p>
    <w:p w:rsidR="000B64F1" w:rsidRDefault="000B64F1" w:rsidP="000B64F1">
      <w:pPr>
        <w:pStyle w:val="Ttulo2"/>
      </w:pPr>
      <w:r>
        <w:t>8.1. Texto</w:t>
      </w:r>
    </w:p>
    <w:p w:rsidR="000B64F1" w:rsidRDefault="000B64F1" w:rsidP="000B64F1">
      <w:r>
        <w:t xml:space="preserve">Foi adoptada uma política contabilística de capitalização </w:t>
      </w:r>
      <w:proofErr w:type="gramStart"/>
      <w:r>
        <w:t>[(ou</w:t>
      </w:r>
      <w:proofErr w:type="gramEnd"/>
      <w:r>
        <w:t xml:space="preserve"> não capitalização)] dos custos dos empréstimos obtidos.</w:t>
      </w:r>
    </w:p>
    <w:p w:rsidR="000B64F1" w:rsidRDefault="000B64F1" w:rsidP="000B64F1"/>
    <w:p w:rsidR="000B64F1" w:rsidRDefault="000B64F1" w:rsidP="000B64F1">
      <w:proofErr w:type="gramStart"/>
      <w:r>
        <w:t>[(Caso</w:t>
      </w:r>
      <w:proofErr w:type="gramEnd"/>
      <w:r>
        <w:t xml:space="preserve"> tenha sido adoptada uma política de capitalização, mencionar os seguintes dados)]</w:t>
      </w:r>
    </w:p>
    <w:p w:rsidR="000B64F1" w:rsidRDefault="000B64F1" w:rsidP="000B64F1"/>
    <w:p w:rsidR="000B64F1" w:rsidRDefault="000B64F1" w:rsidP="000B64F1">
      <w:r>
        <w:t xml:space="preserve">O valor referente aos custos de empréstimos obtidos, capitalizado durante o período foi </w:t>
      </w:r>
      <w:proofErr w:type="gramStart"/>
      <w:r>
        <w:t>de</w:t>
      </w:r>
      <w:proofErr w:type="gramEnd"/>
      <w:r>
        <w:t>: …………</w:t>
      </w:r>
    </w:p>
    <w:p w:rsidR="000B64F1" w:rsidRDefault="000B64F1" w:rsidP="000B64F1"/>
    <w:p w:rsidR="000B64F1" w:rsidRDefault="000B64F1" w:rsidP="000B64F1">
      <w:r>
        <w:t xml:space="preserve">Foi usada uma taxa de capitalização de </w:t>
      </w:r>
      <w:proofErr w:type="gramStart"/>
      <w:r>
        <w:t>…..</w:t>
      </w:r>
      <w:proofErr w:type="gramEnd"/>
      <w:r>
        <w:t xml:space="preserve">% </w:t>
      </w:r>
      <w:proofErr w:type="gramStart"/>
      <w:r>
        <w:t>para</w:t>
      </w:r>
      <w:proofErr w:type="gramEnd"/>
      <w:r>
        <w:t xml:space="preserve"> determinar o valor do custo dos empréstimos obtidos elegíveis para capitalização. </w:t>
      </w:r>
    </w:p>
    <w:p w:rsidR="000B64F1" w:rsidRDefault="000B64F1" w:rsidP="000B64F1"/>
    <w:p w:rsidR="000B64F1" w:rsidRDefault="000B64F1" w:rsidP="000B64F1">
      <w:pPr>
        <w:pStyle w:val="Ttulo1"/>
      </w:pPr>
      <w:r>
        <w:t>9. Inventários</w:t>
      </w:r>
    </w:p>
    <w:p w:rsidR="000B64F1" w:rsidRDefault="000B64F1" w:rsidP="000B64F1">
      <w:pPr>
        <w:pStyle w:val="Ttulo2"/>
      </w:pPr>
      <w:r>
        <w:t>9.1. Políticas contabilísticas e forma de custeio usada</w:t>
      </w:r>
    </w:p>
    <w:p w:rsidR="000B64F1" w:rsidRDefault="000B64F1" w:rsidP="000B64F1">
      <w:r>
        <w:rPr>
          <w:color w:val="151515"/>
        </w:rPr>
        <w:t xml:space="preserve">Os inventários foram mensurados pelo método do custo </w:t>
      </w:r>
      <w:proofErr w:type="gramStart"/>
      <w:r>
        <w:rPr>
          <w:color w:val="151515"/>
        </w:rPr>
        <w:t>[(e</w:t>
      </w:r>
      <w:proofErr w:type="gramEnd"/>
      <w:r>
        <w:rPr>
          <w:color w:val="151515"/>
        </w:rPr>
        <w:t xml:space="preserve">/ou valor realizável líquido)], sendo usado o sistema de custeio Custo médio ponderado[(e/ou FIFO e/ou Custo específico)]. Na imputação dos custos aos inventários, foi usado o sistema de custeio total </w:t>
      </w:r>
      <w:proofErr w:type="gramStart"/>
      <w:r>
        <w:rPr>
          <w:color w:val="151515"/>
        </w:rPr>
        <w:t>[(e</w:t>
      </w:r>
      <w:proofErr w:type="gramEnd"/>
      <w:r>
        <w:rPr>
          <w:color w:val="151515"/>
        </w:rPr>
        <w:t>/ou variável e/ou racional e/ou directo)].</w:t>
      </w:r>
    </w:p>
    <w:p w:rsidR="000B64F1" w:rsidRDefault="000B64F1" w:rsidP="000B64F1"/>
    <w:p w:rsidR="000B64F1" w:rsidRDefault="000B64F1" w:rsidP="000B64F1">
      <w:pPr>
        <w:pStyle w:val="Ttulo2"/>
      </w:pPr>
    </w:p>
    <w:p w:rsidR="000B64F1" w:rsidRDefault="000B64F1" w:rsidP="000B64F1">
      <w:pPr>
        <w:pStyle w:val="Ttulo2"/>
      </w:pPr>
    </w:p>
    <w:p w:rsidR="000B64F1" w:rsidRDefault="000B64F1" w:rsidP="000B64F1">
      <w:pPr>
        <w:pStyle w:val="Ttulo2"/>
      </w:pPr>
    </w:p>
    <w:p w:rsidR="000B64F1" w:rsidRDefault="000B64F1" w:rsidP="000B64F1">
      <w:pPr>
        <w:pStyle w:val="Ttulo2"/>
      </w:pPr>
    </w:p>
    <w:p w:rsidR="000B64F1" w:rsidRDefault="000B64F1" w:rsidP="000B64F1">
      <w:pPr>
        <w:pStyle w:val="Ttulo2"/>
      </w:pPr>
    </w:p>
    <w:p w:rsidR="000B64F1" w:rsidRDefault="000B64F1" w:rsidP="000B64F1">
      <w:pPr>
        <w:pStyle w:val="Ttulo2"/>
      </w:pPr>
      <w:r>
        <w:t>9.2. Quantia total escriturada de inventários e quantia escriturada em classificações apropriadas</w:t>
      </w:r>
    </w:p>
    <w:tbl>
      <w:tblPr>
        <w:tblW w:w="4831" w:type="dxa"/>
        <w:tblInd w:w="55" w:type="dxa"/>
        <w:tblCellMar>
          <w:left w:w="70" w:type="dxa"/>
          <w:right w:w="70" w:type="dxa"/>
        </w:tblCellMar>
        <w:tblLook w:val="04A0"/>
      </w:tblPr>
      <w:tblGrid>
        <w:gridCol w:w="3531"/>
        <w:gridCol w:w="1300"/>
      </w:tblGrid>
      <w:tr w:rsidR="000B64F1" w:rsidTr="000B64F1">
        <w:trPr>
          <w:trHeight w:val="300"/>
        </w:trPr>
        <w:tc>
          <w:tcPr>
            <w:tcW w:w="3531" w:type="dxa"/>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Classificação</w:t>
            </w:r>
          </w:p>
        </w:tc>
        <w:tc>
          <w:tcPr>
            <w:tcW w:w="1300" w:type="dxa"/>
            <w:tcBorders>
              <w:top w:val="single" w:sz="4" w:space="0" w:color="000000"/>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Valor escriturado</w:t>
            </w:r>
          </w:p>
        </w:tc>
      </w:tr>
      <w:tr w:rsidR="000B64F1" w:rsidTr="000B64F1">
        <w:trPr>
          <w:trHeight w:val="300"/>
        </w:trPr>
        <w:tc>
          <w:tcPr>
            <w:tcW w:w="3531"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Mercadorias</w:t>
            </w:r>
          </w:p>
        </w:tc>
        <w:tc>
          <w:tcPr>
            <w:tcW w:w="130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531"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Matérias-primas, subsidiárias e de consumo</w:t>
            </w:r>
          </w:p>
        </w:tc>
        <w:tc>
          <w:tcPr>
            <w:tcW w:w="130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531"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Produtos acabados e intermédios</w:t>
            </w:r>
          </w:p>
        </w:tc>
        <w:tc>
          <w:tcPr>
            <w:tcW w:w="130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531"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Subprodutos, desperdícios, resíduos e refugos</w:t>
            </w:r>
          </w:p>
        </w:tc>
        <w:tc>
          <w:tcPr>
            <w:tcW w:w="130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531"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Produtos e trabalhos em curso</w:t>
            </w:r>
          </w:p>
        </w:tc>
        <w:tc>
          <w:tcPr>
            <w:tcW w:w="130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531"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Activos biológicos</w:t>
            </w:r>
          </w:p>
        </w:tc>
        <w:tc>
          <w:tcPr>
            <w:tcW w:w="130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3531" w:type="dxa"/>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Total</w:t>
            </w:r>
          </w:p>
        </w:tc>
        <w:tc>
          <w:tcPr>
            <w:tcW w:w="1300" w:type="dxa"/>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 xml:space="preserve">9.3. Outras informações </w:t>
      </w:r>
    </w:p>
    <w:p w:rsidR="000B64F1" w:rsidRDefault="000B64F1" w:rsidP="000B64F1">
      <w:r>
        <w:t>Valor de inventários escriturada pelo justo valor menos os custos de vender:</w:t>
      </w:r>
    </w:p>
    <w:p w:rsidR="000B64F1" w:rsidRDefault="000B64F1" w:rsidP="000B64F1">
      <w:r>
        <w:t>…</w:t>
      </w:r>
    </w:p>
    <w:p w:rsidR="000B64F1" w:rsidRDefault="000B64F1" w:rsidP="000B64F1">
      <w:pPr>
        <w:ind w:left="66"/>
      </w:pPr>
    </w:p>
    <w:p w:rsidR="000B64F1" w:rsidRDefault="000B64F1" w:rsidP="000B64F1">
      <w:pPr>
        <w:ind w:left="66"/>
        <w:rPr>
          <w:b/>
          <w:bCs/>
        </w:rPr>
      </w:pPr>
      <w:r>
        <w:t xml:space="preserve">O valor de inventários reconhecido como um gasto durante o período foi </w:t>
      </w:r>
      <w:proofErr w:type="gramStart"/>
      <w:r>
        <w:t>de</w:t>
      </w:r>
      <w:proofErr w:type="gramEnd"/>
      <w:r>
        <w:t xml:space="preserve">: </w:t>
      </w:r>
    </w:p>
    <w:p w:rsidR="000B64F1" w:rsidRDefault="000B64F1" w:rsidP="000B64F1">
      <w:pPr>
        <w:ind w:left="66"/>
        <w:rPr>
          <w:b/>
          <w:bCs/>
        </w:rPr>
      </w:pPr>
    </w:p>
    <w:p w:rsidR="000B64F1" w:rsidRDefault="000B64F1" w:rsidP="000B64F1">
      <w:r>
        <w:t xml:space="preserve">Valor de qualquer ajustamento de inventários reconhecido como um </w:t>
      </w:r>
      <w:proofErr w:type="gramStart"/>
      <w:r>
        <w:t>gasto</w:t>
      </w:r>
      <w:proofErr w:type="gramEnd"/>
      <w:r>
        <w:t xml:space="preserve"> do período de acordo com o parágrafo 11.20:</w:t>
      </w:r>
    </w:p>
    <w:p w:rsidR="000B64F1" w:rsidRDefault="000B64F1" w:rsidP="000B64F1">
      <w:pPr>
        <w:rPr>
          <w:i/>
          <w:iCs/>
        </w:rPr>
      </w:pPr>
      <w:r>
        <w:rPr>
          <w:i/>
          <w:iCs/>
        </w:rPr>
        <w:t>…</w:t>
      </w:r>
    </w:p>
    <w:p w:rsidR="000B64F1" w:rsidRDefault="000B64F1" w:rsidP="000B64F1"/>
    <w:p w:rsidR="000B64F1" w:rsidRDefault="000B64F1" w:rsidP="000B64F1">
      <w:r>
        <w:t xml:space="preserve">Valor de qualquer reversão de ajustamento que tenha sido reconhecida como uma redução na quantia de inventários reconhecida como </w:t>
      </w:r>
      <w:proofErr w:type="gramStart"/>
      <w:r>
        <w:t>gasto</w:t>
      </w:r>
      <w:proofErr w:type="gramEnd"/>
      <w:r>
        <w:t xml:space="preserve"> do período de acordo com o parágrafo 11.20:</w:t>
      </w:r>
    </w:p>
    <w:p w:rsidR="000B64F1" w:rsidRDefault="000B64F1" w:rsidP="000B64F1">
      <w:r>
        <w:t>…</w:t>
      </w:r>
    </w:p>
    <w:p w:rsidR="000B64F1" w:rsidRDefault="000B64F1" w:rsidP="000B64F1">
      <w:pPr>
        <w:rPr>
          <w:i/>
          <w:iCs/>
        </w:rPr>
      </w:pPr>
    </w:p>
    <w:p w:rsidR="000B64F1" w:rsidRDefault="000B64F1" w:rsidP="000B64F1">
      <w:r>
        <w:lastRenderedPageBreak/>
        <w:t>Circunstâncias ou acontecimentos que conduziram à reversão de um ajustamento de inventários de acordo com o parágrafo 11.20:</w:t>
      </w:r>
    </w:p>
    <w:p w:rsidR="000B64F1" w:rsidRDefault="000B64F1" w:rsidP="000B64F1">
      <w:r>
        <w:t>…</w:t>
      </w:r>
    </w:p>
    <w:p w:rsidR="000B64F1" w:rsidRDefault="000B64F1" w:rsidP="000B64F1"/>
    <w:p w:rsidR="000B64F1" w:rsidRDefault="000B64F1" w:rsidP="000B64F1">
      <w:r>
        <w:t>Valor escriturado de inventários dados como penhor de garantia a passivos:</w:t>
      </w:r>
    </w:p>
    <w:p w:rsidR="000B64F1" w:rsidRDefault="000B64F1" w:rsidP="000B64F1">
      <w:r>
        <w:t>…</w:t>
      </w:r>
    </w:p>
    <w:p w:rsidR="000B64F1" w:rsidRDefault="000B64F1" w:rsidP="000B64F1"/>
    <w:p w:rsidR="000B64F1" w:rsidRDefault="000B64F1" w:rsidP="000B64F1">
      <w:pPr>
        <w:pStyle w:val="Ttulo1"/>
      </w:pPr>
      <w:r>
        <w:t>10. Rédito</w:t>
      </w:r>
    </w:p>
    <w:p w:rsidR="000B64F1" w:rsidRDefault="000B64F1" w:rsidP="000B64F1">
      <w:pPr>
        <w:pStyle w:val="Ttulo2"/>
      </w:pPr>
      <w:r>
        <w:t>10.1. Políticas contabilísticas adoptadas para o reconhecimento do rédito</w:t>
      </w:r>
    </w:p>
    <w:p w:rsidR="000B64F1" w:rsidRDefault="000B64F1" w:rsidP="000B64F1">
      <w:r>
        <w:t>Políticas contabilísticas adoptadas para o reconhecimento do rédito incluindo os métodos adoptados para determinar a fase de acabamento de transacções que envolvem a prestação de serviços.</w:t>
      </w:r>
    </w:p>
    <w:p w:rsidR="000B64F1" w:rsidRDefault="000B64F1" w:rsidP="000B64F1">
      <w:r>
        <w:t>...</w:t>
      </w:r>
    </w:p>
    <w:p w:rsidR="000B64F1" w:rsidRDefault="000B64F1" w:rsidP="000B64F1"/>
    <w:p w:rsidR="000B64F1" w:rsidRDefault="000B64F1" w:rsidP="000B64F1">
      <w:pPr>
        <w:rPr>
          <w:b/>
          <w:bCs/>
        </w:rPr>
      </w:pPr>
      <w:r>
        <w:t xml:space="preserve">Venda de bens:  </w:t>
      </w:r>
    </w:p>
    <w:p w:rsidR="000B64F1" w:rsidRDefault="000B64F1" w:rsidP="000B64F1">
      <w:r>
        <w:t xml:space="preserve">Prestação de serviços: </w:t>
      </w:r>
    </w:p>
    <w:p w:rsidR="000B64F1" w:rsidRDefault="000B64F1" w:rsidP="000B64F1">
      <w:r>
        <w:rPr>
          <w:i/>
          <w:iCs/>
        </w:rPr>
        <w:t xml:space="preserve">Royalties: </w:t>
      </w:r>
    </w:p>
    <w:p w:rsidR="000B64F1" w:rsidRDefault="000B64F1" w:rsidP="000B64F1">
      <w:pPr>
        <w:rPr>
          <w:b/>
          <w:bCs/>
        </w:rPr>
      </w:pPr>
      <w:r>
        <w:t xml:space="preserve">Juros: </w:t>
      </w:r>
    </w:p>
    <w:p w:rsidR="000B64F1" w:rsidRDefault="000B64F1" w:rsidP="000B64F1">
      <w:pPr>
        <w:rPr>
          <w:b/>
          <w:bCs/>
        </w:rPr>
      </w:pPr>
      <w:r>
        <w:t xml:space="preserve">Dividendos:  </w:t>
      </w:r>
    </w:p>
    <w:p w:rsidR="000B64F1" w:rsidRDefault="000B64F1" w:rsidP="000B64F1"/>
    <w:p w:rsidR="00367C13" w:rsidRDefault="00367C13" w:rsidP="000B64F1">
      <w:pPr>
        <w:pStyle w:val="Ttulo1"/>
      </w:pPr>
    </w:p>
    <w:p w:rsidR="00367C13" w:rsidRDefault="00367C13" w:rsidP="000B64F1">
      <w:pPr>
        <w:pStyle w:val="Ttulo1"/>
      </w:pPr>
    </w:p>
    <w:p w:rsidR="00367C13" w:rsidRDefault="00367C13" w:rsidP="000B64F1">
      <w:pPr>
        <w:pStyle w:val="Ttulo1"/>
      </w:pPr>
    </w:p>
    <w:p w:rsidR="00367C13" w:rsidRDefault="00367C13" w:rsidP="000B64F1">
      <w:pPr>
        <w:pStyle w:val="Ttulo1"/>
      </w:pPr>
    </w:p>
    <w:p w:rsidR="000B64F1" w:rsidRDefault="000B64F1" w:rsidP="000B64F1">
      <w:pPr>
        <w:pStyle w:val="Ttulo1"/>
      </w:pPr>
      <w:r>
        <w:t>11. Provisões, passivos contingentes e activos contingentes</w:t>
      </w:r>
    </w:p>
    <w:p w:rsidR="000B64F1" w:rsidRDefault="000B64F1" w:rsidP="000B64F1">
      <w:pPr>
        <w:pStyle w:val="Ttulo2"/>
      </w:pPr>
      <w:r>
        <w:t>11.1. Divulgações por classe de provisão</w:t>
      </w:r>
    </w:p>
    <w:tbl>
      <w:tblPr>
        <w:tblW w:w="0" w:type="auto"/>
        <w:tblInd w:w="55" w:type="dxa"/>
        <w:tblCellMar>
          <w:left w:w="70" w:type="dxa"/>
          <w:right w:w="70" w:type="dxa"/>
        </w:tblCellMar>
        <w:tblLook w:val="04A0"/>
      </w:tblPr>
      <w:tblGrid>
        <w:gridCol w:w="3608"/>
        <w:gridCol w:w="1202"/>
        <w:gridCol w:w="996"/>
        <w:gridCol w:w="784"/>
        <w:gridCol w:w="959"/>
        <w:gridCol w:w="1557"/>
        <w:gridCol w:w="1184"/>
      </w:tblGrid>
      <w:tr w:rsidR="000B64F1" w:rsidTr="000B64F1">
        <w:trPr>
          <w:trHeight w:val="825"/>
        </w:trPr>
        <w:tc>
          <w:tcPr>
            <w:tcW w:w="0" w:type="auto"/>
            <w:tcBorders>
              <w:top w:val="single" w:sz="4" w:space="0" w:color="000000"/>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Classe</w:t>
            </w:r>
          </w:p>
        </w:tc>
        <w:tc>
          <w:tcPr>
            <w:tcW w:w="0" w:type="auto"/>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Valor escriturado no início do período</w:t>
            </w:r>
          </w:p>
        </w:tc>
        <w:tc>
          <w:tcPr>
            <w:tcW w:w="0" w:type="auto"/>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Aumentos e reforços</w:t>
            </w:r>
          </w:p>
        </w:tc>
        <w:tc>
          <w:tcPr>
            <w:tcW w:w="0" w:type="auto"/>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Valores usados</w:t>
            </w:r>
          </w:p>
        </w:tc>
        <w:tc>
          <w:tcPr>
            <w:tcW w:w="0" w:type="auto"/>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Valores revertidos</w:t>
            </w:r>
          </w:p>
        </w:tc>
        <w:tc>
          <w:tcPr>
            <w:tcW w:w="0" w:type="auto"/>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Aumento na quantia descontada e efeito de alterações na taxa de desconto</w:t>
            </w:r>
          </w:p>
        </w:tc>
        <w:tc>
          <w:tcPr>
            <w:tcW w:w="0" w:type="auto"/>
            <w:tcBorders>
              <w:top w:val="single" w:sz="4" w:space="0" w:color="000000"/>
              <w:left w:val="nil"/>
              <w:bottom w:val="single" w:sz="4" w:space="0" w:color="000000"/>
              <w:right w:val="single" w:sz="4" w:space="0" w:color="000000"/>
            </w:tcBorders>
            <w:shd w:val="clear" w:color="auto" w:fill="auto"/>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Valor escriturado no fim do período</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Impostos</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Garantias a clientes</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Processos judiciais em curso</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Acidentes de trabalho e doenças profissionais</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Matérias ambientais</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Contratos onerosos</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Reestruturação</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Outras provisões</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0B64F1" w:rsidTr="000B64F1">
        <w:trPr>
          <w:trHeight w:val="300"/>
        </w:trPr>
        <w:tc>
          <w:tcPr>
            <w:tcW w:w="0" w:type="auto"/>
            <w:tcBorders>
              <w:top w:val="nil"/>
              <w:left w:val="single" w:sz="4" w:space="0" w:color="000000"/>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b/>
                <w:bCs/>
                <w:sz w:val="17"/>
                <w:szCs w:val="17"/>
              </w:rPr>
            </w:pPr>
            <w:r>
              <w:rPr>
                <w:rFonts w:ascii="Microsoft Sans Serif" w:hAnsi="Microsoft Sans Serif" w:cs="Microsoft Sans Serif"/>
                <w:b/>
                <w:bCs/>
                <w:sz w:val="17"/>
                <w:szCs w:val="17"/>
              </w:rPr>
              <w:t>Total de provisões</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0" w:type="auto"/>
            <w:tcBorders>
              <w:top w:val="nil"/>
              <w:left w:val="nil"/>
              <w:bottom w:val="single" w:sz="4" w:space="0" w:color="000000"/>
              <w:right w:val="single" w:sz="4" w:space="0" w:color="000000"/>
            </w:tcBorders>
            <w:shd w:val="clear" w:color="auto" w:fill="auto"/>
            <w:noWrap/>
            <w:hideMark/>
          </w:tcPr>
          <w:p w:rsidR="000B64F1" w:rsidRDefault="000B64F1">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0B64F1" w:rsidRDefault="000B64F1" w:rsidP="000B64F1">
      <w:pPr>
        <w:pStyle w:val="Ttulo2"/>
      </w:pPr>
      <w:r>
        <w:t>11.2. Texto</w:t>
      </w:r>
    </w:p>
    <w:p w:rsidR="000B64F1" w:rsidRDefault="000B64F1" w:rsidP="000B64F1">
      <w:r>
        <w:t>Informações pormenorizadas sobre as provisões de carácter ambiental:</w:t>
      </w:r>
    </w:p>
    <w:p w:rsidR="000B64F1" w:rsidRDefault="000B64F1" w:rsidP="000B64F1">
      <w:r>
        <w:t>…</w:t>
      </w:r>
    </w:p>
    <w:p w:rsidR="000B64F1" w:rsidRDefault="000B64F1" w:rsidP="000B64F1"/>
    <w:p w:rsidR="000B64F1" w:rsidRDefault="000B64F1" w:rsidP="000B64F1">
      <w:r>
        <w:t>Passivos de carácter ambiental, materialmente relevantes, incluídos em cada uma das rubricas do Balanço:</w:t>
      </w:r>
    </w:p>
    <w:p w:rsidR="000B64F1" w:rsidRDefault="000B64F1" w:rsidP="000B64F1">
      <w:r>
        <w:t>…</w:t>
      </w:r>
    </w:p>
    <w:p w:rsidR="000B64F1" w:rsidRDefault="000B64F1" w:rsidP="000B64F1"/>
    <w:p w:rsidR="000B64F1" w:rsidRDefault="000B64F1" w:rsidP="000B64F1">
      <w:pPr>
        <w:pStyle w:val="Ttulo2"/>
      </w:pPr>
      <w:r>
        <w:t>11.3. Descrição dos passivos contingentes</w:t>
      </w:r>
    </w:p>
    <w:p w:rsidR="000B64F1" w:rsidRDefault="000B64F1" w:rsidP="000B64F1">
      <w:r>
        <w:t>Breve descrição da natureza do passivo contingente.</w:t>
      </w:r>
    </w:p>
    <w:p w:rsidR="000B64F1" w:rsidRDefault="000B64F1" w:rsidP="000B64F1"/>
    <w:p w:rsidR="000B64F1" w:rsidRDefault="000B64F1" w:rsidP="000B64F1">
      <w:pPr>
        <w:pStyle w:val="Ttulo2"/>
      </w:pPr>
      <w:r>
        <w:lastRenderedPageBreak/>
        <w:t>11.4. Descrição dos activos contingentes</w:t>
      </w:r>
    </w:p>
    <w:p w:rsidR="000B64F1" w:rsidRDefault="000B64F1" w:rsidP="000B64F1">
      <w:r>
        <w:t>...</w:t>
      </w:r>
    </w:p>
    <w:p w:rsidR="000B64F1" w:rsidRDefault="000B64F1" w:rsidP="000B64F1">
      <w:pPr>
        <w:pStyle w:val="Ttulo1"/>
      </w:pPr>
      <w:r>
        <w:t>12. Subsídios do Governo e apoios do Governo</w:t>
      </w:r>
    </w:p>
    <w:p w:rsidR="000B64F1" w:rsidRDefault="000B64F1" w:rsidP="000B64F1">
      <w:pPr>
        <w:pStyle w:val="Ttulo2"/>
      </w:pPr>
      <w:r>
        <w:t>12.1. Divulgação</w:t>
      </w:r>
    </w:p>
    <w:p w:rsidR="000B64F1" w:rsidRDefault="000B64F1" w:rsidP="000B64F1">
      <w:r>
        <w:t>Devem ser divulgados os assuntos seguintes:</w:t>
      </w:r>
    </w:p>
    <w:p w:rsidR="000B64F1" w:rsidRDefault="000B64F1" w:rsidP="000B64F1">
      <w:r>
        <w:rPr>
          <w:i/>
          <w:iCs/>
        </w:rPr>
        <w:t>a</w:t>
      </w:r>
      <w:r>
        <w:t>) A política contabilística adoptada para os subsídios do Governo, incluindo os métodos de apresentação adoptados nas demonstrações financeiras;</w:t>
      </w:r>
    </w:p>
    <w:p w:rsidR="000B64F1" w:rsidRDefault="000B64F1" w:rsidP="000B64F1">
      <w:r>
        <w:rPr>
          <w:i/>
          <w:iCs/>
        </w:rPr>
        <w:t>b</w:t>
      </w:r>
      <w:r>
        <w:t>) A natureza e extensão dos subsídios do Governo reconhecidos nas demonstrações financeiras e indicação de outras formas de apoio do Governo de que a entidade tenha directamente beneficiado; e</w:t>
      </w:r>
    </w:p>
    <w:p w:rsidR="000B64F1" w:rsidRDefault="000B64F1" w:rsidP="000B64F1">
      <w:r>
        <w:rPr>
          <w:i/>
          <w:iCs/>
        </w:rPr>
        <w:t>c</w:t>
      </w:r>
      <w:r>
        <w:t>) Condições não satisfeitas e outras contingências ligadas ao apoio do Governo que tenham sido reconhecidas.</w:t>
      </w:r>
    </w:p>
    <w:p w:rsidR="000B64F1" w:rsidRDefault="000B64F1" w:rsidP="000B64F1"/>
    <w:p w:rsidR="000B64F1" w:rsidRDefault="000B64F1" w:rsidP="000B64F1">
      <w:pPr>
        <w:pStyle w:val="Ttulo1"/>
      </w:pPr>
      <w:r>
        <w:t>13. Efeitos de alterações em taxas de câmbio</w:t>
      </w:r>
    </w:p>
    <w:p w:rsidR="000B64F1" w:rsidRDefault="000B64F1" w:rsidP="000B64F1">
      <w:pPr>
        <w:pStyle w:val="Ttulo2"/>
      </w:pPr>
      <w:r>
        <w:t>13.1. Diferenças de câmbio</w:t>
      </w:r>
    </w:p>
    <w:p w:rsidR="000B64F1" w:rsidRDefault="000B64F1" w:rsidP="000B64F1">
      <w:r>
        <w:t>Diferenças de câmbio reconhecidas nos resultados:</w:t>
      </w:r>
    </w:p>
    <w:p w:rsidR="000B64F1" w:rsidRDefault="000B64F1" w:rsidP="000B64F1"/>
    <w:p w:rsidR="000B64F1" w:rsidRDefault="000B64F1" w:rsidP="000B64F1">
      <w:pPr>
        <w:ind w:left="-6"/>
      </w:pPr>
      <w:r>
        <w:t xml:space="preserve">Diferenças de câmbio favoráveis:    </w:t>
      </w:r>
    </w:p>
    <w:p w:rsidR="000B64F1" w:rsidRDefault="000B64F1" w:rsidP="000B64F1">
      <w:pPr>
        <w:tabs>
          <w:tab w:val="left" w:pos="3119"/>
        </w:tabs>
        <w:ind w:left="-6"/>
      </w:pPr>
      <w:r>
        <w:t xml:space="preserve">Diferenças de câmbio desfavoráveis:  </w:t>
      </w:r>
      <w:r>
        <w:rPr>
          <w:b/>
          <w:bCs/>
        </w:rPr>
        <w:t xml:space="preserve">  </w:t>
      </w:r>
    </w:p>
    <w:p w:rsidR="000B64F1" w:rsidRDefault="000B64F1" w:rsidP="000B64F1">
      <w:pPr>
        <w:pStyle w:val="Ttulo1"/>
      </w:pPr>
      <w:r>
        <w:t>14. Impostos sobre o rendimento</w:t>
      </w:r>
    </w:p>
    <w:p w:rsidR="000B64F1" w:rsidRDefault="000B64F1" w:rsidP="000B64F1">
      <w:pPr>
        <w:pStyle w:val="Ttulo2"/>
      </w:pPr>
      <w:r>
        <w:t>14.1. Divulgação</w:t>
      </w:r>
    </w:p>
    <w:p w:rsidR="000B64F1" w:rsidRDefault="000B64F1" w:rsidP="000B64F1">
      <w:r>
        <w:t>Devem ser divulgados separadamente:</w:t>
      </w:r>
    </w:p>
    <w:p w:rsidR="000B64F1" w:rsidRDefault="000B64F1" w:rsidP="000B64F1">
      <w:r>
        <w:rPr>
          <w:i/>
          <w:iCs/>
        </w:rPr>
        <w:t>a</w:t>
      </w:r>
      <w:r>
        <w:t>) Gasto (rendimento) por impostos correntes;</w:t>
      </w:r>
    </w:p>
    <w:p w:rsidR="000B64F1" w:rsidRDefault="000B64F1" w:rsidP="000B64F1">
      <w:r>
        <w:rPr>
          <w:i/>
          <w:iCs/>
        </w:rPr>
        <w:t>b</w:t>
      </w:r>
      <w:r>
        <w:t>) Quaisquer ajustamentos reconhecidos no período de impostos correntes de períodos anteriores;</w:t>
      </w:r>
    </w:p>
    <w:p w:rsidR="000B64F1" w:rsidRDefault="000B64F1" w:rsidP="000B64F1">
      <w:r>
        <w:rPr>
          <w:i/>
          <w:iCs/>
        </w:rPr>
        <w:t>c</w:t>
      </w:r>
      <w:r>
        <w:t>) A natureza e quantia do gasto (rendimento) de imposto reconhecido directamente em capitais próprios.</w:t>
      </w:r>
    </w:p>
    <w:p w:rsidR="000B64F1" w:rsidRDefault="000B64F1" w:rsidP="000B64F1"/>
    <w:p w:rsidR="000B64F1" w:rsidRDefault="000B64F1" w:rsidP="000B64F1">
      <w:pPr>
        <w:pStyle w:val="Ttulo1"/>
      </w:pPr>
      <w:r>
        <w:t>15. Instrumentos financeiros</w:t>
      </w:r>
    </w:p>
    <w:p w:rsidR="000B64F1" w:rsidRDefault="000B64F1" w:rsidP="000B64F1">
      <w:pPr>
        <w:pStyle w:val="Ttulo2"/>
      </w:pPr>
      <w:r>
        <w:t>15.1. Bases de mensuração e outras políticas contabilísticas utilizadas para a contabilização de instrumentos financeiros</w:t>
      </w:r>
    </w:p>
    <w:p w:rsidR="000B64F1" w:rsidRDefault="000B64F1" w:rsidP="000B64F1">
      <w:r>
        <w:t>Os activos e passivos financeiros foram mensurados ao custo ou custo amortizado menos perdas por imparidades acumuladas.</w:t>
      </w:r>
    </w:p>
    <w:p w:rsidR="000B64F1" w:rsidRDefault="000B64F1" w:rsidP="000B64F1">
      <w:proofErr w:type="gramStart"/>
      <w:r>
        <w:lastRenderedPageBreak/>
        <w:t>[(ou</w:t>
      </w:r>
      <w:proofErr w:type="gramEnd"/>
      <w:r>
        <w:t>)]</w:t>
      </w:r>
    </w:p>
    <w:p w:rsidR="000B64F1" w:rsidRDefault="000B64F1" w:rsidP="000B64F1">
      <w:r>
        <w:t>Os activos e passivos financeiros foram mensurados ao justo valor, com as alterações de justo valor a serem reconhecidas na Demonstração de Resultados.</w:t>
      </w:r>
    </w:p>
    <w:p w:rsidR="000B64F1" w:rsidRDefault="000B64F1" w:rsidP="000B64F1"/>
    <w:p w:rsidR="000B64F1" w:rsidRDefault="000B64F1" w:rsidP="000B64F1">
      <w:pPr>
        <w:pStyle w:val="Ttulo2"/>
      </w:pPr>
      <w:r>
        <w:t>15.2. Cotação de mercado de instrumentos financeiros mensurados ao justo valor</w:t>
      </w:r>
    </w:p>
    <w:p w:rsidR="000B64F1" w:rsidRDefault="000B64F1" w:rsidP="000B64F1">
      <w:r>
        <w:t>Para todos os instrumentos financeiros mensurados ao justo valor, a entidade deve divulgar a respectiva cotação de mercado.</w:t>
      </w:r>
    </w:p>
    <w:p w:rsidR="000B64F1" w:rsidRDefault="000B64F1" w:rsidP="000B64F1"/>
    <w:p w:rsidR="000B64F1" w:rsidRDefault="000B64F1" w:rsidP="000B64F1">
      <w:pPr>
        <w:pStyle w:val="Ttulo2"/>
      </w:pPr>
      <w:r>
        <w:t xml:space="preserve">15.3. Activos financeiros transaccionados sem </w:t>
      </w:r>
      <w:proofErr w:type="spellStart"/>
      <w:r>
        <w:t>desreconhecimento</w:t>
      </w:r>
      <w:proofErr w:type="spellEnd"/>
    </w:p>
    <w:p w:rsidR="000B64F1" w:rsidRDefault="000B64F1" w:rsidP="000B64F1">
      <w:r>
        <w:t>Para todos os instrumentos financeiros mensurados ao justo valor, a entidade deve divulgar a respectiva cotação de mercado.</w:t>
      </w:r>
    </w:p>
    <w:p w:rsidR="000B64F1" w:rsidRDefault="000B64F1" w:rsidP="000B64F1"/>
    <w:p w:rsidR="000B64F1" w:rsidRDefault="000B64F1" w:rsidP="000B64F1">
      <w:pPr>
        <w:pStyle w:val="Ttulo2"/>
      </w:pPr>
      <w:r>
        <w:t>15.4. Activos financeiros dados em garantia, penhor ou promessa</w:t>
      </w:r>
    </w:p>
    <w:p w:rsidR="000B64F1" w:rsidRDefault="000B64F1" w:rsidP="000B64F1">
      <w:r>
        <w:t>Quando uma entidade tenha dado em garantia, penhor ou promessa de penhor activos financeiros, deverá divulgar:</w:t>
      </w:r>
    </w:p>
    <w:p w:rsidR="000B64F1" w:rsidRDefault="000B64F1" w:rsidP="000B64F1">
      <w:r>
        <w:rPr>
          <w:i/>
          <w:iCs/>
        </w:rPr>
        <w:t>a</w:t>
      </w:r>
      <w:r>
        <w:t>) A quantia escriturada de tais activos financeiros; e</w:t>
      </w:r>
    </w:p>
    <w:p w:rsidR="000B64F1" w:rsidRDefault="000B64F1" w:rsidP="000B64F1">
      <w:r>
        <w:rPr>
          <w:i/>
          <w:iCs/>
        </w:rPr>
        <w:t>b</w:t>
      </w:r>
      <w:r>
        <w:t>) Os termos e condições relativos à garantia, penhor ou promessa de penhor.</w:t>
      </w:r>
    </w:p>
    <w:p w:rsidR="000B64F1" w:rsidRDefault="000B64F1" w:rsidP="000B64F1"/>
    <w:p w:rsidR="000B64F1" w:rsidRDefault="000B64F1" w:rsidP="000B64F1">
      <w:pPr>
        <w:pStyle w:val="Ttulo2"/>
      </w:pPr>
      <w:r>
        <w:t>15.5. Incumprimentos em empréstimos contraídos</w:t>
      </w:r>
    </w:p>
    <w:p w:rsidR="000B64F1" w:rsidRDefault="000B64F1" w:rsidP="000B64F1">
      <w:r>
        <w:t>Para empréstimos contraídos reconhecidos à data do balanço, uma entidade deve divulgar as situações de incumprimento.</w:t>
      </w:r>
    </w:p>
    <w:p w:rsidR="000B64F1" w:rsidRDefault="000B64F1" w:rsidP="000B64F1"/>
    <w:p w:rsidR="000B64F1" w:rsidRDefault="000B64F1" w:rsidP="000B64F1">
      <w:pPr>
        <w:pStyle w:val="Ttulo2"/>
      </w:pPr>
      <w:r>
        <w:t>15.6. Representação do capital social da empresa</w:t>
      </w:r>
    </w:p>
    <w:p w:rsidR="000B64F1" w:rsidRDefault="000B64F1" w:rsidP="000B64F1">
      <w:r>
        <w:t>As sociedades anónimas devem divulgar o número e acções representativas do capital social da entidade, as respectivas categorias e o seu valor nominal.</w:t>
      </w:r>
    </w:p>
    <w:p w:rsidR="000B64F1" w:rsidRDefault="000B64F1" w:rsidP="000B64F1"/>
    <w:p w:rsidR="000B64F1" w:rsidRDefault="000B64F1" w:rsidP="000B64F1">
      <w:pPr>
        <w:pStyle w:val="Ttulo2"/>
      </w:pPr>
      <w:r>
        <w:t>15.7. Instrumentos de capital próprio emitidos</w:t>
      </w:r>
    </w:p>
    <w:p w:rsidR="000B64F1" w:rsidRDefault="000B64F1" w:rsidP="000B64F1">
      <w:r>
        <w:t>A entidade deve divulgar as quantias de aumentos de capital realizados no período e a dedução efectuada como custos de emissão bem como, separadamente, as quantias e descrição de outros instrumentos de capital próprio emitidos e a respectiva quantia acumulada à data do balanço.</w:t>
      </w:r>
    </w:p>
    <w:p w:rsidR="000B64F1" w:rsidRDefault="000B64F1" w:rsidP="000B64F1"/>
    <w:p w:rsidR="000B64F1" w:rsidRDefault="000B64F1" w:rsidP="000B64F1">
      <w:pPr>
        <w:pStyle w:val="Ttulo1"/>
      </w:pPr>
      <w:r>
        <w:lastRenderedPageBreak/>
        <w:t>16. Benefícios dos empregados</w:t>
      </w:r>
    </w:p>
    <w:p w:rsidR="000B64F1" w:rsidRDefault="000B64F1" w:rsidP="000B64F1">
      <w:pPr>
        <w:pStyle w:val="Ttulo2"/>
      </w:pPr>
      <w:r>
        <w:t>16.1. Benefícios</w:t>
      </w:r>
    </w:p>
    <w:p w:rsidR="000B64F1" w:rsidRDefault="000B64F1" w:rsidP="000B64F1">
      <w:r>
        <w:t>Número médio de empregados durante o ano</w:t>
      </w:r>
      <w:proofErr w:type="gramStart"/>
      <w:r>
        <w:t>:………..</w:t>
      </w:r>
      <w:proofErr w:type="gramEnd"/>
    </w:p>
    <w:p w:rsidR="000B64F1" w:rsidRDefault="000B64F1" w:rsidP="000B64F1"/>
    <w:p w:rsidR="000B64F1" w:rsidRDefault="000B64F1" w:rsidP="000B64F1">
      <w:pPr>
        <w:pStyle w:val="Ttulo1"/>
      </w:pPr>
      <w:r>
        <w:t>17. Divulgações exigidas por diplomas legais</w:t>
      </w:r>
    </w:p>
    <w:p w:rsidR="000B64F1" w:rsidRDefault="000B64F1" w:rsidP="000B64F1">
      <w:pPr>
        <w:pStyle w:val="Ttulo2"/>
      </w:pPr>
      <w:r>
        <w:t>17.1. Divulgações</w:t>
      </w:r>
    </w:p>
    <w:p w:rsidR="000B64F1" w:rsidRDefault="000B64F1" w:rsidP="000B64F1">
      <w:r>
        <w:t>...</w:t>
      </w:r>
    </w:p>
    <w:p w:rsidR="000B64F1" w:rsidRDefault="000B64F1" w:rsidP="000B64F1"/>
    <w:p w:rsidR="000B64F1" w:rsidRDefault="000B64F1" w:rsidP="000B64F1">
      <w:pPr>
        <w:pStyle w:val="Ttulo1"/>
      </w:pPr>
      <w:r>
        <w:t>18. Outras informações</w:t>
      </w:r>
    </w:p>
    <w:p w:rsidR="000B64F1" w:rsidRDefault="000B64F1" w:rsidP="000B64F1">
      <w:pPr>
        <w:pStyle w:val="Ttulo2"/>
      </w:pPr>
      <w:r>
        <w:t>18.1. Outras informações</w:t>
      </w:r>
    </w:p>
    <w:p w:rsidR="000B64F1" w:rsidRDefault="000B64F1" w:rsidP="000B64F1">
      <w:r>
        <w:t>...</w:t>
      </w:r>
    </w:p>
    <w:p w:rsidR="000B64F1" w:rsidRDefault="000B64F1" w:rsidP="000B64F1"/>
    <w:p w:rsidR="0073359C" w:rsidRPr="000B64F1" w:rsidRDefault="0073359C" w:rsidP="000B64F1"/>
    <w:sectPr w:rsidR="0073359C" w:rsidRPr="000B64F1" w:rsidSect="000B64F1">
      <w:pgSz w:w="11906" w:h="16838" w:code="9"/>
      <w:pgMar w:top="1134" w:right="567" w:bottom="1134" w:left="113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8135E"/>
    <w:multiLevelType w:val="hybridMultilevel"/>
    <w:tmpl w:val="FFFFFFFF"/>
    <w:lvl w:ilvl="0" w:tplc="22B6264A">
      <w:start w:val="1"/>
      <w:numFmt w:val="lowerLetter"/>
      <w:lvlText w:val="%1)"/>
      <w:lvlJc w:val="left"/>
      <w:pPr>
        <w:ind w:left="430" w:hanging="360"/>
      </w:pPr>
      <w:rPr>
        <w:color w:val="000000"/>
      </w:rPr>
    </w:lvl>
    <w:lvl w:ilvl="1" w:tplc="22B6264A">
      <w:start w:val="1"/>
      <w:numFmt w:val="lowerLetter"/>
      <w:lvlText w:val="%2."/>
      <w:lvlJc w:val="left"/>
      <w:pPr>
        <w:ind w:left="1150" w:hanging="360"/>
      </w:pPr>
      <w:rPr>
        <w:color w:val="000000"/>
      </w:rPr>
    </w:lvl>
    <w:lvl w:ilvl="2" w:tplc="0816001B">
      <w:start w:val="1"/>
      <w:numFmt w:val="lowerRoman"/>
      <w:lvlText w:val="%3."/>
      <w:lvlJc w:val="right"/>
      <w:pPr>
        <w:ind w:left="1870" w:hanging="180"/>
      </w:pPr>
      <w:rPr>
        <w:color w:val="000000"/>
      </w:rPr>
    </w:lvl>
    <w:lvl w:ilvl="3" w:tplc="0816000F">
      <w:start w:val="1"/>
      <w:numFmt w:val="decimal"/>
      <w:lvlText w:val="%4."/>
      <w:lvlJc w:val="left"/>
      <w:pPr>
        <w:ind w:left="2590" w:hanging="360"/>
      </w:pPr>
      <w:rPr>
        <w:color w:val="000000"/>
      </w:rPr>
    </w:lvl>
    <w:lvl w:ilvl="4" w:tplc="22B6264A">
      <w:start w:val="1"/>
      <w:numFmt w:val="lowerLetter"/>
      <w:lvlText w:val="%5."/>
      <w:lvlJc w:val="left"/>
      <w:pPr>
        <w:ind w:left="3310" w:hanging="360"/>
      </w:pPr>
      <w:rPr>
        <w:color w:val="000000"/>
      </w:rPr>
    </w:lvl>
    <w:lvl w:ilvl="5" w:tplc="0816001B">
      <w:start w:val="1"/>
      <w:numFmt w:val="lowerRoman"/>
      <w:lvlText w:val="%6."/>
      <w:lvlJc w:val="right"/>
      <w:pPr>
        <w:ind w:left="4030" w:hanging="180"/>
      </w:pPr>
      <w:rPr>
        <w:color w:val="000000"/>
      </w:rPr>
    </w:lvl>
    <w:lvl w:ilvl="6" w:tplc="0816000F">
      <w:start w:val="1"/>
      <w:numFmt w:val="decimal"/>
      <w:lvlText w:val="%7."/>
      <w:lvlJc w:val="left"/>
      <w:pPr>
        <w:ind w:left="4750" w:hanging="360"/>
      </w:pPr>
      <w:rPr>
        <w:color w:val="000000"/>
      </w:rPr>
    </w:lvl>
    <w:lvl w:ilvl="7" w:tplc="22B6264A">
      <w:start w:val="1"/>
      <w:numFmt w:val="lowerLetter"/>
      <w:lvlText w:val="%8."/>
      <w:lvlJc w:val="left"/>
      <w:pPr>
        <w:ind w:left="5470" w:hanging="360"/>
      </w:pPr>
      <w:rPr>
        <w:color w:val="000000"/>
      </w:rPr>
    </w:lvl>
    <w:lvl w:ilvl="8" w:tplc="0816001B">
      <w:start w:val="1"/>
      <w:numFmt w:val="lowerRoman"/>
      <w:lvlText w:val="%9."/>
      <w:lvlJc w:val="right"/>
      <w:pPr>
        <w:ind w:left="6190" w:hanging="180"/>
      </w:pPr>
      <w:rPr>
        <w:color w:val="00000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evenAndOddHeaders/>
  <w:characterSpacingControl w:val="doNotCompress"/>
  <w:compat/>
  <w:rsids>
    <w:rsidRoot w:val="000B64F1"/>
    <w:rsid w:val="000B64F1"/>
    <w:rsid w:val="00367C13"/>
    <w:rsid w:val="0073359C"/>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59C"/>
  </w:style>
  <w:style w:type="paragraph" w:styleId="Ttulo1">
    <w:name w:val="heading 1"/>
    <w:basedOn w:val="Normal"/>
    <w:next w:val="Normal"/>
    <w:link w:val="Ttulo1Carcter"/>
    <w:uiPriority w:val="9"/>
    <w:qFormat/>
    <w:rsid w:val="000B64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cter"/>
    <w:uiPriority w:val="9"/>
    <w:unhideWhenUsed/>
    <w:qFormat/>
    <w:rsid w:val="000B64F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cter">
    <w:name w:val="Título 1 Carácter"/>
    <w:basedOn w:val="Tipodeletrapredefinidodopargrafo"/>
    <w:link w:val="Ttulo1"/>
    <w:uiPriority w:val="9"/>
    <w:rsid w:val="000B64F1"/>
    <w:rPr>
      <w:rFonts w:asciiTheme="majorHAnsi" w:eastAsiaTheme="majorEastAsia" w:hAnsiTheme="majorHAnsi" w:cstheme="majorBidi"/>
      <w:b/>
      <w:bCs/>
      <w:color w:val="365F91" w:themeColor="accent1" w:themeShade="BF"/>
      <w:sz w:val="28"/>
      <w:szCs w:val="28"/>
    </w:rPr>
  </w:style>
  <w:style w:type="character" w:customStyle="1" w:styleId="Ttulo2Carcter">
    <w:name w:val="Título 2 Carácter"/>
    <w:basedOn w:val="Tipodeletrapredefinidodopargrafo"/>
    <w:link w:val="Ttulo2"/>
    <w:uiPriority w:val="9"/>
    <w:rsid w:val="000B64F1"/>
    <w:rPr>
      <w:rFonts w:asciiTheme="majorHAnsi" w:eastAsiaTheme="majorEastAsia" w:hAnsiTheme="majorHAnsi" w:cstheme="majorBidi"/>
      <w:b/>
      <w:bCs/>
      <w:color w:val="4F81BD" w:themeColor="accent1"/>
      <w:sz w:val="26"/>
      <w:szCs w:val="26"/>
    </w:rPr>
  </w:style>
  <w:style w:type="paragraph" w:styleId="PargrafodaLista">
    <w:name w:val="List Paragraph"/>
    <w:basedOn w:val="Normal"/>
    <w:uiPriority w:val="99"/>
    <w:qFormat/>
    <w:rsid w:val="000B64F1"/>
    <w:pPr>
      <w:autoSpaceDE w:val="0"/>
      <w:autoSpaceDN w:val="0"/>
      <w:adjustRightInd w:val="0"/>
      <w:spacing w:after="0" w:line="240" w:lineRule="auto"/>
      <w:ind w:left="720"/>
    </w:pPr>
    <w:rPr>
      <w:rFonts w:ascii="Times New Roman" w:hAnsi="Times New Roman" w:cs="Times New Roman"/>
      <w:color w:val="000000"/>
      <w:sz w:val="24"/>
      <w:szCs w:val="24"/>
    </w:rPr>
  </w:style>
  <w:style w:type="paragraph" w:styleId="Textodecomentrio">
    <w:name w:val="annotation text"/>
    <w:basedOn w:val="Normal"/>
    <w:link w:val="TextodecomentrioCarcter"/>
    <w:uiPriority w:val="99"/>
    <w:rsid w:val="000B64F1"/>
    <w:pPr>
      <w:autoSpaceDE w:val="0"/>
      <w:autoSpaceDN w:val="0"/>
      <w:adjustRightInd w:val="0"/>
      <w:spacing w:after="0" w:line="240" w:lineRule="auto"/>
    </w:pPr>
    <w:rPr>
      <w:rFonts w:ascii="Times New Roman" w:hAnsi="Times New Roman" w:cs="Times New Roman"/>
      <w:color w:val="000000"/>
      <w:sz w:val="20"/>
      <w:szCs w:val="20"/>
    </w:rPr>
  </w:style>
  <w:style w:type="character" w:customStyle="1" w:styleId="TextodecomentrioCarcter">
    <w:name w:val="Texto de comentário Carácter"/>
    <w:basedOn w:val="Tipodeletrapredefinidodopargrafo"/>
    <w:link w:val="Textodecomentrio"/>
    <w:uiPriority w:val="99"/>
    <w:rsid w:val="000B64F1"/>
    <w:rPr>
      <w:rFonts w:ascii="Times New Roman" w:hAnsi="Times New Roman" w:cs="Times New Roman"/>
      <w:color w:val="000000"/>
      <w:sz w:val="20"/>
      <w:szCs w:val="20"/>
    </w:rPr>
  </w:style>
</w:styles>
</file>

<file path=word/webSettings.xml><?xml version="1.0" encoding="utf-8"?>
<w:webSettings xmlns:r="http://schemas.openxmlformats.org/officeDocument/2006/relationships" xmlns:w="http://schemas.openxmlformats.org/wordprocessingml/2006/main">
  <w:divs>
    <w:div w:id="172375515">
      <w:bodyDiv w:val="1"/>
      <w:marLeft w:val="0"/>
      <w:marRight w:val="0"/>
      <w:marTop w:val="0"/>
      <w:marBottom w:val="0"/>
      <w:divBdr>
        <w:top w:val="none" w:sz="0" w:space="0" w:color="auto"/>
        <w:left w:val="none" w:sz="0" w:space="0" w:color="auto"/>
        <w:bottom w:val="none" w:sz="0" w:space="0" w:color="auto"/>
        <w:right w:val="none" w:sz="0" w:space="0" w:color="auto"/>
      </w:divBdr>
    </w:div>
    <w:div w:id="332420417">
      <w:bodyDiv w:val="1"/>
      <w:marLeft w:val="0"/>
      <w:marRight w:val="0"/>
      <w:marTop w:val="0"/>
      <w:marBottom w:val="0"/>
      <w:divBdr>
        <w:top w:val="none" w:sz="0" w:space="0" w:color="auto"/>
        <w:left w:val="none" w:sz="0" w:space="0" w:color="auto"/>
        <w:bottom w:val="none" w:sz="0" w:space="0" w:color="auto"/>
        <w:right w:val="none" w:sz="0" w:space="0" w:color="auto"/>
      </w:divBdr>
    </w:div>
    <w:div w:id="342821085">
      <w:bodyDiv w:val="1"/>
      <w:marLeft w:val="0"/>
      <w:marRight w:val="0"/>
      <w:marTop w:val="0"/>
      <w:marBottom w:val="0"/>
      <w:divBdr>
        <w:top w:val="none" w:sz="0" w:space="0" w:color="auto"/>
        <w:left w:val="none" w:sz="0" w:space="0" w:color="auto"/>
        <w:bottom w:val="none" w:sz="0" w:space="0" w:color="auto"/>
        <w:right w:val="none" w:sz="0" w:space="0" w:color="auto"/>
      </w:divBdr>
    </w:div>
    <w:div w:id="575673123">
      <w:bodyDiv w:val="1"/>
      <w:marLeft w:val="0"/>
      <w:marRight w:val="0"/>
      <w:marTop w:val="0"/>
      <w:marBottom w:val="0"/>
      <w:divBdr>
        <w:top w:val="none" w:sz="0" w:space="0" w:color="auto"/>
        <w:left w:val="none" w:sz="0" w:space="0" w:color="auto"/>
        <w:bottom w:val="none" w:sz="0" w:space="0" w:color="auto"/>
        <w:right w:val="none" w:sz="0" w:space="0" w:color="auto"/>
      </w:divBdr>
    </w:div>
    <w:div w:id="576482151">
      <w:bodyDiv w:val="1"/>
      <w:marLeft w:val="0"/>
      <w:marRight w:val="0"/>
      <w:marTop w:val="0"/>
      <w:marBottom w:val="0"/>
      <w:divBdr>
        <w:top w:val="none" w:sz="0" w:space="0" w:color="auto"/>
        <w:left w:val="none" w:sz="0" w:space="0" w:color="auto"/>
        <w:bottom w:val="none" w:sz="0" w:space="0" w:color="auto"/>
        <w:right w:val="none" w:sz="0" w:space="0" w:color="auto"/>
      </w:divBdr>
    </w:div>
    <w:div w:id="630787303">
      <w:bodyDiv w:val="1"/>
      <w:marLeft w:val="0"/>
      <w:marRight w:val="0"/>
      <w:marTop w:val="0"/>
      <w:marBottom w:val="0"/>
      <w:divBdr>
        <w:top w:val="none" w:sz="0" w:space="0" w:color="auto"/>
        <w:left w:val="none" w:sz="0" w:space="0" w:color="auto"/>
        <w:bottom w:val="none" w:sz="0" w:space="0" w:color="auto"/>
        <w:right w:val="none" w:sz="0" w:space="0" w:color="auto"/>
      </w:divBdr>
    </w:div>
    <w:div w:id="690691868">
      <w:bodyDiv w:val="1"/>
      <w:marLeft w:val="0"/>
      <w:marRight w:val="0"/>
      <w:marTop w:val="0"/>
      <w:marBottom w:val="0"/>
      <w:divBdr>
        <w:top w:val="none" w:sz="0" w:space="0" w:color="auto"/>
        <w:left w:val="none" w:sz="0" w:space="0" w:color="auto"/>
        <w:bottom w:val="none" w:sz="0" w:space="0" w:color="auto"/>
        <w:right w:val="none" w:sz="0" w:space="0" w:color="auto"/>
      </w:divBdr>
    </w:div>
    <w:div w:id="939988921">
      <w:bodyDiv w:val="1"/>
      <w:marLeft w:val="0"/>
      <w:marRight w:val="0"/>
      <w:marTop w:val="0"/>
      <w:marBottom w:val="0"/>
      <w:divBdr>
        <w:top w:val="none" w:sz="0" w:space="0" w:color="auto"/>
        <w:left w:val="none" w:sz="0" w:space="0" w:color="auto"/>
        <w:bottom w:val="none" w:sz="0" w:space="0" w:color="auto"/>
        <w:right w:val="none" w:sz="0" w:space="0" w:color="auto"/>
      </w:divBdr>
    </w:div>
    <w:div w:id="1041442354">
      <w:bodyDiv w:val="1"/>
      <w:marLeft w:val="0"/>
      <w:marRight w:val="0"/>
      <w:marTop w:val="0"/>
      <w:marBottom w:val="0"/>
      <w:divBdr>
        <w:top w:val="none" w:sz="0" w:space="0" w:color="auto"/>
        <w:left w:val="none" w:sz="0" w:space="0" w:color="auto"/>
        <w:bottom w:val="none" w:sz="0" w:space="0" w:color="auto"/>
        <w:right w:val="none" w:sz="0" w:space="0" w:color="auto"/>
      </w:divBdr>
    </w:div>
    <w:div w:id="176214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18</Pages>
  <Words>3542</Words>
  <Characters>19130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dc:creator>
  <cp:lastModifiedBy>Eduardo</cp:lastModifiedBy>
  <cp:revision>1</cp:revision>
  <dcterms:created xsi:type="dcterms:W3CDTF">2011-02-16T17:39:00Z</dcterms:created>
  <dcterms:modified xsi:type="dcterms:W3CDTF">2011-02-16T17:51:00Z</dcterms:modified>
</cp:coreProperties>
</file>