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D14" w:rsidRPr="00443C44" w:rsidRDefault="00A76D14" w:rsidP="00A76D1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>TÉCNICA DA ANÁLISE DOS RÁCIOS</w:t>
      </w:r>
    </w:p>
    <w:p w:rsidR="00A76D14" w:rsidRPr="00443C44" w:rsidRDefault="00A76D14" w:rsidP="00A76D14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</w:p>
    <w:p w:rsidR="00A76D14" w:rsidRPr="00A76D14" w:rsidRDefault="00A76D14" w:rsidP="00A76D14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</w:p>
    <w:p w:rsidR="00B64D79" w:rsidRDefault="00A76D14" w:rsidP="00B64D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>Rácios de Liquidez ou de Tesouraria</w:t>
      </w:r>
    </w:p>
    <w:p w:rsidR="00B64D79" w:rsidRDefault="00B64D79" w:rsidP="00A76D14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</w:p>
    <w:p w:rsidR="00A76D14" w:rsidRPr="00E50EE4" w:rsidRDefault="00B64D79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E50EE4">
        <w:rPr>
          <w:rFonts w:eastAsia="Times New Roman" w:cstheme="minorHAnsi"/>
          <w:color w:val="000000"/>
          <w:sz w:val="28"/>
          <w:szCs w:val="28"/>
          <w:lang w:val="pt-BR" w:eastAsia="pt-PT"/>
        </w:rPr>
        <w:t>A</w:t>
      </w:r>
      <w:r w:rsidR="00A76D14"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valiam a capacidade da empresa para cumprir os compromissos de curto prazo; </w:t>
      </w:r>
    </w:p>
    <w:p w:rsidR="00A76D14" w:rsidRPr="00443C44" w:rsidRDefault="00A76D14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A76D14" w:rsidRPr="00A76D14" w:rsidRDefault="00A76D14" w:rsidP="00A76D14">
      <w:pPr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pt-BR" w:eastAsia="pt-PT"/>
        </w:rPr>
      </w:pPr>
      <w:r w:rsidRPr="00A76D1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>(</w:t>
      </w:r>
      <w:r w:rsidRPr="00A76D14">
        <w:rPr>
          <w:rFonts w:eastAsia="Times New Roman" w:cstheme="minorHAnsi"/>
          <w:b/>
          <w:bCs/>
          <w:color w:val="000000"/>
          <w:sz w:val="24"/>
          <w:szCs w:val="24"/>
          <w:lang w:val="pt-BR" w:eastAsia="pt-PT"/>
        </w:rPr>
        <w:t xml:space="preserve">financeiros) </w:t>
      </w:r>
    </w:p>
    <w:p w:rsidR="00AA34F9" w:rsidRPr="00AA34F9" w:rsidRDefault="00AA34F9" w:rsidP="00AA34F9">
      <w:pPr>
        <w:pStyle w:val="PargrafodaLista"/>
        <w:spacing w:after="0" w:line="240" w:lineRule="auto"/>
        <w:rPr>
          <w:rFonts w:eastAsia="Times New Roman" w:cstheme="minorHAnsi"/>
          <w:color w:val="000000"/>
          <w:sz w:val="24"/>
          <w:szCs w:val="24"/>
          <w:lang w:val="pt-BR" w:eastAsia="pt-PT"/>
        </w:rPr>
      </w:pPr>
    </w:p>
    <w:p w:rsidR="00AA34F9" w:rsidRPr="00DF6809" w:rsidRDefault="00AE5F7A" w:rsidP="00DF6809">
      <w:pPr>
        <w:pStyle w:val="PargrafodaLista"/>
        <w:numPr>
          <w:ilvl w:val="0"/>
          <w:numId w:val="10"/>
        </w:numPr>
        <w:spacing w:after="0" w:line="240" w:lineRule="auto"/>
        <w:rPr>
          <w:rFonts w:eastAsia="Times New Roman" w:cstheme="minorHAnsi"/>
          <w:caps/>
          <w:color w:val="000000"/>
          <w:sz w:val="24"/>
          <w:szCs w:val="24"/>
          <w:u w:val="single"/>
          <w:lang w:val="pt-BR" w:eastAsia="pt-PT"/>
        </w:rPr>
      </w:pPr>
      <w:r>
        <w:rPr>
          <w:rFonts w:eastAsia="Times New Roman" w:cstheme="minorHAnsi"/>
          <w:b/>
          <w:color w:val="000000"/>
          <w:sz w:val="24"/>
          <w:szCs w:val="24"/>
          <w:lang w:val="pt-BR" w:eastAsia="pt-PT"/>
        </w:rPr>
        <w:t xml:space="preserve">Liquidez Geral </w:t>
      </w:r>
      <w:r w:rsidR="00816357">
        <w:rPr>
          <w:rFonts w:eastAsia="Times New Roman" w:cstheme="minorHAnsi"/>
          <w:b/>
          <w:color w:val="000000"/>
          <w:sz w:val="24"/>
          <w:szCs w:val="24"/>
          <w:lang w:val="pt-BR" w:eastAsia="pt-PT"/>
        </w:rPr>
        <w:t xml:space="preserve"> </w:t>
      </w:r>
      <w:bookmarkStart w:id="0" w:name="_GoBack"/>
      <w:bookmarkEnd w:id="0"/>
      <w:r w:rsidR="00AA34F9" w:rsidRPr="00DF6809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=    </w:t>
      </w:r>
      <w:r w:rsidR="00AA34F9" w:rsidRPr="00DF6809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</w:t>
      </w:r>
      <w:r w:rsidR="00BB3AD3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           </w:t>
      </w:r>
      <w:r w:rsidR="00AA34F9" w:rsidRPr="00DF6809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  </w:t>
      </w:r>
      <w:r w:rsidR="00BB3AD3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>Activo Circulante</w:t>
      </w:r>
      <w:r w:rsidR="00AA34F9" w:rsidRPr="00DF6809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           </w:t>
      </w:r>
      <w:r w:rsidR="00BB3AD3">
        <w:rPr>
          <w:rFonts w:eastAsia="Times New Roman" w:cstheme="minorHAnsi"/>
          <w:caps/>
          <w:color w:val="000000"/>
          <w:sz w:val="24"/>
          <w:szCs w:val="24"/>
          <w:u w:val="single"/>
          <w:lang w:val="pt-BR" w:eastAsia="pt-PT"/>
        </w:rPr>
        <w:t>___</w:t>
      </w:r>
    </w:p>
    <w:p w:rsidR="00BB3AD3" w:rsidRDefault="00BB3AD3" w:rsidP="00BB3AD3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>
        <w:rPr>
          <w:rFonts w:eastAsia="Times New Roman" w:cstheme="minorHAnsi"/>
          <w:caps/>
          <w:color w:val="000000"/>
          <w:sz w:val="24"/>
          <w:szCs w:val="24"/>
          <w:lang w:val="pt-BR" w:eastAsia="pt-PT"/>
        </w:rPr>
        <w:t xml:space="preserve">    </w:t>
      </w:r>
      <w:r w:rsidR="00AA34F9" w:rsidRPr="00DF6809">
        <w:rPr>
          <w:rFonts w:eastAsia="Times New Roman" w:cstheme="minorHAnsi"/>
          <w:caps/>
          <w:color w:val="000000"/>
          <w:sz w:val="24"/>
          <w:szCs w:val="24"/>
          <w:lang w:val="pt-BR" w:eastAsia="pt-PT"/>
        </w:rPr>
        <w:tab/>
      </w:r>
      <w:r w:rsidR="00AA34F9" w:rsidRPr="00DF6809">
        <w:rPr>
          <w:rFonts w:eastAsia="Times New Roman" w:cstheme="minorHAnsi"/>
          <w:caps/>
          <w:color w:val="000000"/>
          <w:sz w:val="24"/>
          <w:szCs w:val="24"/>
          <w:lang w:val="pt-BR" w:eastAsia="pt-PT"/>
        </w:rPr>
        <w:tab/>
      </w:r>
      <w:r w:rsidR="00DF6809">
        <w:rPr>
          <w:rFonts w:eastAsia="Times New Roman" w:cstheme="minorHAnsi"/>
          <w:caps/>
          <w:color w:val="000000"/>
          <w:sz w:val="24"/>
          <w:szCs w:val="24"/>
          <w:lang w:val="pt-BR" w:eastAsia="pt-PT"/>
        </w:rPr>
        <w:t xml:space="preserve"> </w:t>
      </w:r>
      <w:r>
        <w:rPr>
          <w:rFonts w:eastAsia="Times New Roman" w:cstheme="minorHAnsi"/>
          <w:caps/>
          <w:color w:val="000000"/>
          <w:sz w:val="24"/>
          <w:szCs w:val="24"/>
          <w:lang w:val="pt-BR" w:eastAsia="pt-PT"/>
        </w:rPr>
        <w:t xml:space="preserve">                      </w:t>
      </w:r>
      <w:r>
        <w:rPr>
          <w:rFonts w:eastAsia="Times New Roman" w:cstheme="minorHAnsi"/>
          <w:color w:val="000000"/>
          <w:sz w:val="24"/>
          <w:szCs w:val="24"/>
          <w:lang w:val="pt-BR" w:eastAsia="pt-PT"/>
        </w:rPr>
        <w:t>Dividas a Terceiros de Curto Prazo</w:t>
      </w:r>
    </w:p>
    <w:p w:rsidR="00AE4B0C" w:rsidRDefault="00AE4B0C" w:rsidP="00DF6809">
      <w:pPr>
        <w:spacing w:after="0" w:line="240" w:lineRule="auto"/>
        <w:rPr>
          <w:sz w:val="23"/>
          <w:szCs w:val="23"/>
        </w:rPr>
      </w:pPr>
    </w:p>
    <w:p w:rsidR="00AA34F9" w:rsidRDefault="00AE4B0C" w:rsidP="00DF6809">
      <w:pPr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Revela-nos a capacidade que a empresa tem de solver as suas obrigações correntes. É um teste de solvência a curto prazo. Deve ser, pelo menos igual a um, para que se verifique um equilíbrio financeiro mínimo.</w:t>
      </w:r>
    </w:p>
    <w:p w:rsidR="00A76D14" w:rsidRPr="00443C44" w:rsidRDefault="00712BB8" w:rsidP="00AE5F7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        </w:t>
      </w:r>
    </w:p>
    <w:p w:rsidR="000125AE" w:rsidRPr="00443C44" w:rsidRDefault="000125AE" w:rsidP="000125AE">
      <w:pPr>
        <w:pStyle w:val="PargrafodaLista"/>
        <w:numPr>
          <w:ilvl w:val="0"/>
          <w:numId w:val="7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 w:rsidRPr="00443C44">
        <w:rPr>
          <w:rFonts w:cstheme="minorHAnsi"/>
          <w:color w:val="000000"/>
          <w:sz w:val="20"/>
          <w:szCs w:val="20"/>
        </w:rPr>
        <w:t xml:space="preserve">Um valor </w:t>
      </w:r>
      <w:r w:rsidRPr="00443C44">
        <w:rPr>
          <w:rFonts w:cstheme="minorHAnsi"/>
          <w:b/>
          <w:bCs/>
          <w:color w:val="000000"/>
          <w:sz w:val="20"/>
          <w:szCs w:val="20"/>
        </w:rPr>
        <w:t>superior a 1</w:t>
      </w:r>
      <w:r w:rsidRPr="00443C44">
        <w:rPr>
          <w:rFonts w:cstheme="minorHAnsi"/>
          <w:color w:val="000000"/>
          <w:sz w:val="20"/>
          <w:szCs w:val="20"/>
        </w:rPr>
        <w:t>, significa que a empresa pode utilizar activos líquidos para pagar as dívidas a curto prazo.</w:t>
      </w:r>
    </w:p>
    <w:p w:rsidR="000125AE" w:rsidRPr="00443C44" w:rsidRDefault="000125AE" w:rsidP="000125A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 w:rsidRPr="00443C44">
        <w:rPr>
          <w:rFonts w:cstheme="minorHAnsi"/>
          <w:color w:val="000000"/>
          <w:sz w:val="20"/>
          <w:szCs w:val="20"/>
        </w:rPr>
        <w:t xml:space="preserve">Um valor </w:t>
      </w:r>
      <w:r w:rsidRPr="00443C44">
        <w:rPr>
          <w:rFonts w:cstheme="minorHAnsi"/>
          <w:b/>
          <w:bCs/>
          <w:color w:val="000000"/>
          <w:sz w:val="20"/>
          <w:szCs w:val="20"/>
        </w:rPr>
        <w:t>inferior a 1</w:t>
      </w:r>
      <w:r w:rsidRPr="00443C44">
        <w:rPr>
          <w:rFonts w:cstheme="minorHAnsi"/>
          <w:color w:val="000000"/>
          <w:sz w:val="20"/>
          <w:szCs w:val="20"/>
        </w:rPr>
        <w:t>, significa que a empresa tem dificuldades de tesouraria.</w:t>
      </w:r>
    </w:p>
    <w:p w:rsidR="000125AE" w:rsidRPr="00443C44" w:rsidRDefault="000125AE" w:rsidP="00A76D14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AE5F7A" w:rsidRDefault="00AE5F7A" w:rsidP="00AE5F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Esta relacionado com o </w:t>
      </w:r>
      <w:r w:rsidRPr="0095757F">
        <w:rPr>
          <w:b/>
          <w:i/>
          <w:sz w:val="23"/>
          <w:szCs w:val="23"/>
          <w:u w:val="single"/>
        </w:rPr>
        <w:t>Fundo de Maneio</w:t>
      </w:r>
      <w:r>
        <w:rPr>
          <w:sz w:val="23"/>
          <w:szCs w:val="23"/>
        </w:rPr>
        <w:t xml:space="preserve"> </w:t>
      </w:r>
    </w:p>
    <w:p w:rsidR="00AE5F7A" w:rsidRDefault="00AE5F7A" w:rsidP="00AE5F7A">
      <w:pPr>
        <w:pStyle w:val="Default"/>
        <w:rPr>
          <w:sz w:val="18"/>
          <w:szCs w:val="18"/>
        </w:rPr>
      </w:pPr>
    </w:p>
    <w:p w:rsidR="00AE5F7A" w:rsidRDefault="00AE5F7A" w:rsidP="00AE5F7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Fundo de Maneio =Activo circulante - Dívidas a curto prazo</w:t>
      </w:r>
    </w:p>
    <w:p w:rsidR="001D3B5D" w:rsidRDefault="001D3B5D" w:rsidP="001D3B5D">
      <w:pPr>
        <w:pStyle w:val="Default"/>
      </w:pPr>
    </w:p>
    <w:p w:rsidR="001D3B5D" w:rsidRPr="001D3B5D" w:rsidRDefault="001D3B5D" w:rsidP="001D3B5D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D7C7E">
        <w:rPr>
          <w:rFonts w:asciiTheme="minorHAnsi" w:hAnsiTheme="minorHAnsi" w:cstheme="minorHAnsi"/>
          <w:b/>
          <w:sz w:val="20"/>
          <w:szCs w:val="20"/>
        </w:rPr>
        <w:t>SE a liquidez geral for superior à unidade</w:t>
      </w:r>
      <w:r w:rsidRPr="001D3B5D">
        <w:rPr>
          <w:rFonts w:asciiTheme="minorHAnsi" w:hAnsiTheme="minorHAnsi" w:cstheme="minorHAnsi"/>
          <w:sz w:val="20"/>
          <w:szCs w:val="20"/>
        </w:rPr>
        <w:t xml:space="preserve">, conclui-se que o Activo Circulante é superior às Dívidas a Curto Prazo conduzindo desta forma a um Fundo de Maneio positivo. Esta situação, origina uma certa margem de segurança que tem o seu custo. </w:t>
      </w:r>
    </w:p>
    <w:p w:rsidR="001D3B5D" w:rsidRPr="001D3B5D" w:rsidRDefault="001D3B5D" w:rsidP="001D3B5D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D7C7E">
        <w:rPr>
          <w:rFonts w:asciiTheme="minorHAnsi" w:hAnsiTheme="minorHAnsi" w:cstheme="minorHAnsi"/>
          <w:b/>
          <w:sz w:val="20"/>
          <w:szCs w:val="20"/>
        </w:rPr>
        <w:t>SE a liquidez geral for igual à unidade</w:t>
      </w:r>
      <w:r w:rsidRPr="001D3B5D">
        <w:rPr>
          <w:rFonts w:asciiTheme="minorHAnsi" w:hAnsiTheme="minorHAnsi" w:cstheme="minorHAnsi"/>
          <w:sz w:val="20"/>
          <w:szCs w:val="20"/>
        </w:rPr>
        <w:t xml:space="preserve">, conclui-se que o Activo Circulante é igual às Dívidas a Curto Prazo conduzindo desta forma a um Fundo de Maneio nulo. Esta situação é instável. </w:t>
      </w:r>
    </w:p>
    <w:p w:rsidR="001D3B5D" w:rsidRPr="001D3B5D" w:rsidRDefault="001D3B5D" w:rsidP="001D3B5D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D7C7E">
        <w:rPr>
          <w:rFonts w:asciiTheme="minorHAnsi" w:hAnsiTheme="minorHAnsi" w:cstheme="minorHAnsi"/>
          <w:b/>
          <w:sz w:val="20"/>
          <w:szCs w:val="20"/>
        </w:rPr>
        <w:t>SE a liquidez geral for inferior à unidade</w:t>
      </w:r>
      <w:r w:rsidRPr="001D3B5D">
        <w:rPr>
          <w:rFonts w:asciiTheme="minorHAnsi" w:hAnsiTheme="minorHAnsi" w:cstheme="minorHAnsi"/>
          <w:sz w:val="20"/>
          <w:szCs w:val="20"/>
        </w:rPr>
        <w:t xml:space="preserve">, conclui-se que o Activo Circulante é inferior às Dívidas a Curto Prazo conduzindo desta forma a um Fundo de Maneio negativo. </w:t>
      </w:r>
    </w:p>
    <w:p w:rsidR="00A76D14" w:rsidRDefault="00A76D14" w:rsidP="00A76D14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</w:p>
    <w:p w:rsidR="0095757F" w:rsidRPr="00AE5F7A" w:rsidRDefault="0095757F" w:rsidP="00A76D14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</w:p>
    <w:p w:rsidR="00A76D14" w:rsidRPr="00443C44" w:rsidRDefault="00A76D14" w:rsidP="00A76D14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pacing w:val="82"/>
          <w:sz w:val="24"/>
          <w:szCs w:val="24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4"/>
          <w:szCs w:val="24"/>
          <w:lang w:val="pt-BR" w:eastAsia="pt-PT"/>
        </w:rPr>
        <w:t xml:space="preserve">Liquidez Reduzida </w:t>
      </w:r>
      <w:r w:rsidRPr="008F09E1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=  </w:t>
      </w:r>
      <w:r w:rsidR="008F09E1" w:rsidRPr="008F09E1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  <w:r w:rsidR="008F09E1" w:rsidRPr="008F09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           </w:t>
      </w:r>
      <w:r w:rsidRPr="008F09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Activo Circulante </w:t>
      </w:r>
      <w:r w:rsidR="008F09E1" w:rsidRPr="008F09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>–</w:t>
      </w:r>
      <w:r w:rsidRPr="008F09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Existências</w:t>
      </w:r>
      <w:r w:rsidR="008F09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</w:t>
      </w:r>
      <w:r w:rsidR="00781C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           _</w:t>
      </w:r>
      <w:r w:rsidR="008F09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                </w:t>
      </w:r>
    </w:p>
    <w:p w:rsidR="00A76D14" w:rsidRDefault="001760FA" w:rsidP="001760FA">
      <w:pPr>
        <w:spacing w:after="0" w:line="240" w:lineRule="auto"/>
        <w:ind w:left="2832" w:firstLine="708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>
        <w:rPr>
          <w:rFonts w:eastAsia="Times New Roman" w:cstheme="minorHAnsi"/>
          <w:color w:val="000000"/>
          <w:sz w:val="24"/>
          <w:szCs w:val="24"/>
          <w:lang w:val="pt-BR" w:eastAsia="pt-PT"/>
        </w:rPr>
        <w:t>Dividas a Terceiros de Curto Prazo</w:t>
      </w:r>
    </w:p>
    <w:p w:rsidR="001269C5" w:rsidRDefault="001269C5" w:rsidP="001269C5">
      <w:pPr>
        <w:spacing w:after="0" w:line="240" w:lineRule="auto"/>
        <w:rPr>
          <w:sz w:val="23"/>
          <w:szCs w:val="23"/>
          <w:lang w:val="pt-BR"/>
        </w:rPr>
      </w:pPr>
    </w:p>
    <w:p w:rsidR="001269C5" w:rsidRPr="00443C44" w:rsidRDefault="001269C5" w:rsidP="001269C5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>
        <w:rPr>
          <w:sz w:val="23"/>
          <w:szCs w:val="23"/>
        </w:rPr>
        <w:t>Dá a ideia clara da capacidade da empresa para, sem grandes riscos, ser capaz de solver os seus compromissos de curto prazo.</w:t>
      </w:r>
    </w:p>
    <w:p w:rsidR="0025518A" w:rsidRDefault="002257FF" w:rsidP="002257FF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443C44">
        <w:rPr>
          <w:rFonts w:cstheme="minorHAnsi"/>
          <w:color w:val="000000"/>
          <w:sz w:val="20"/>
          <w:szCs w:val="20"/>
        </w:rPr>
        <w:t xml:space="preserve">Consideram-se bons os valores </w:t>
      </w:r>
      <w:r w:rsidRPr="00443C44">
        <w:rPr>
          <w:rFonts w:cstheme="minorHAnsi"/>
          <w:b/>
          <w:bCs/>
          <w:color w:val="000000"/>
          <w:sz w:val="20"/>
          <w:szCs w:val="20"/>
        </w:rPr>
        <w:t>entre 0,9 e 1,1</w:t>
      </w:r>
      <w:r w:rsidR="0025518A">
        <w:rPr>
          <w:rFonts w:cstheme="minorHAnsi"/>
          <w:color w:val="000000"/>
          <w:sz w:val="20"/>
          <w:szCs w:val="20"/>
        </w:rPr>
        <w:t>.</w:t>
      </w:r>
    </w:p>
    <w:p w:rsidR="00331AA7" w:rsidRDefault="00331AA7" w:rsidP="00331AA7">
      <w:pPr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A76D14" w:rsidRPr="00331AA7" w:rsidRDefault="002257FF" w:rsidP="00331AA7">
      <w:pPr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331AA7">
        <w:rPr>
          <w:rFonts w:cstheme="minorHAnsi"/>
          <w:color w:val="000000"/>
          <w:sz w:val="20"/>
          <w:szCs w:val="20"/>
        </w:rPr>
        <w:t>Se houver uma diferença muito grande entre a liquidez geral e a liquidez reduzida, significa que existem stocks "mortos", com elevados custos para a empresa.</w:t>
      </w:r>
    </w:p>
    <w:p w:rsidR="002257FF" w:rsidRPr="00A76D14" w:rsidRDefault="002257FF" w:rsidP="00A76D14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pt-BR" w:eastAsia="pt-PT"/>
        </w:rPr>
      </w:pPr>
    </w:p>
    <w:p w:rsidR="00A76D14" w:rsidRPr="00443C44" w:rsidRDefault="00A76D14" w:rsidP="00A76D14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pacing w:val="82"/>
          <w:sz w:val="24"/>
          <w:szCs w:val="24"/>
          <w:u w:val="single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4"/>
          <w:szCs w:val="24"/>
          <w:lang w:val="pt-BR" w:eastAsia="pt-PT"/>
        </w:rPr>
        <w:t xml:space="preserve">Liquidez Imediata    </w:t>
      </w:r>
      <w:r w:rsidRPr="00443C4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= </w:t>
      </w:r>
      <w:r w:rsidRPr="00443C44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    </w:t>
      </w:r>
      <w:r w:rsidR="00781C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                   </w:t>
      </w:r>
      <w:r w:rsidRPr="00443C44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>Disponibilidades</w:t>
      </w:r>
      <w:r w:rsidR="00781CE1">
        <w:rPr>
          <w:rFonts w:eastAsia="Times New Roman" w:cstheme="minorHAnsi"/>
          <w:color w:val="000000"/>
          <w:sz w:val="24"/>
          <w:szCs w:val="24"/>
          <w:u w:val="single"/>
          <w:lang w:val="pt-BR" w:eastAsia="pt-PT"/>
        </w:rPr>
        <w:t xml:space="preserve"> ______________</w:t>
      </w:r>
    </w:p>
    <w:p w:rsidR="00A76D14" w:rsidRDefault="00A76D14" w:rsidP="00A76D14">
      <w:pPr>
        <w:spacing w:after="0" w:line="240" w:lineRule="auto"/>
        <w:ind w:left="1416" w:firstLine="708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 w:rsidRPr="00443C4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           </w:t>
      </w:r>
      <w:r w:rsidR="00781CE1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          </w:t>
      </w:r>
      <w:r w:rsidRPr="00443C4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  <w:r w:rsidR="00781CE1">
        <w:rPr>
          <w:rFonts w:eastAsia="Times New Roman" w:cstheme="minorHAnsi"/>
          <w:color w:val="000000"/>
          <w:sz w:val="24"/>
          <w:szCs w:val="24"/>
          <w:lang w:val="pt-BR" w:eastAsia="pt-PT"/>
        </w:rPr>
        <w:t>Dividas a Terceiros de Curto Prazo</w:t>
      </w:r>
      <w:r w:rsidRPr="00A76D1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</w:p>
    <w:p w:rsidR="00A76D14" w:rsidRPr="00A562C9" w:rsidRDefault="00A562C9" w:rsidP="00A562C9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val="pt-BR" w:eastAsia="pt-PT"/>
        </w:rPr>
      </w:pPr>
      <w:r w:rsidRPr="00A562C9">
        <w:rPr>
          <w:rFonts w:cstheme="minorHAnsi"/>
          <w:color w:val="000000"/>
          <w:sz w:val="20"/>
          <w:szCs w:val="20"/>
        </w:rPr>
        <w:t xml:space="preserve">Um valor </w:t>
      </w:r>
      <w:r w:rsidRPr="00A562C9">
        <w:rPr>
          <w:rFonts w:cstheme="minorHAnsi"/>
          <w:b/>
          <w:bCs/>
          <w:color w:val="000000"/>
          <w:sz w:val="20"/>
          <w:szCs w:val="20"/>
        </w:rPr>
        <w:t>superior a 0,9</w:t>
      </w:r>
      <w:r w:rsidRPr="00A562C9">
        <w:rPr>
          <w:rFonts w:cstheme="minorHAnsi"/>
          <w:color w:val="000000"/>
          <w:sz w:val="20"/>
          <w:szCs w:val="20"/>
        </w:rPr>
        <w:t xml:space="preserve"> poderá ser demasiado elevado e significar uma má aplicação dos fundos de tesouraria.</w:t>
      </w:r>
    </w:p>
    <w:p w:rsidR="00A76D14" w:rsidRPr="00443C44" w:rsidRDefault="00A76D14" w:rsidP="000266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lastRenderedPageBreak/>
        <w:t>Rácios de Solvabilidade</w:t>
      </w:r>
    </w:p>
    <w:p w:rsidR="00A76D14" w:rsidRPr="000266AA" w:rsidRDefault="000266AA" w:rsidP="000266AA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>
        <w:rPr>
          <w:rFonts w:eastAsia="Times New Roman" w:cstheme="minorHAnsi"/>
          <w:color w:val="000000"/>
          <w:sz w:val="24"/>
          <w:szCs w:val="24"/>
          <w:lang w:val="pt-BR" w:eastAsia="pt-PT"/>
        </w:rPr>
        <w:t>I</w:t>
      </w:r>
      <w:r w:rsidR="00A76D14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t>ndicador da medida em que a empresa se</w:t>
      </w:r>
      <w:r w:rsidR="00A76D14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br/>
        <w:t>financiou com capitais próprios ou alheios</w:t>
      </w:r>
      <w:r w:rsidR="00385F7E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e p</w:t>
      </w:r>
      <w:r w:rsidR="00A76D14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t>ermitem avaliar do risco de insolvência</w:t>
      </w:r>
      <w:r w:rsidR="00385F7E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  <w:r w:rsidR="00A76D14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t>a</w:t>
      </w:r>
      <w:r w:rsidR="00385F7E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  <w:r w:rsidR="00A76D14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t>longo prazo;</w:t>
      </w:r>
      <w:r w:rsidR="00385F7E" w:rsidRPr="000266AA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</w:p>
    <w:p w:rsidR="00A76D14" w:rsidRPr="00443C44" w:rsidRDefault="00A76D14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A76D14" w:rsidRPr="00A76D14" w:rsidRDefault="00A76D14" w:rsidP="00A76D14">
      <w:p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</w:t>
      </w:r>
      <w:r w:rsidRPr="00A76D1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(financeiros) </w:t>
      </w:r>
    </w:p>
    <w:p w:rsidR="00A76D14" w:rsidRPr="00443C44" w:rsidRDefault="00A76D14" w:rsidP="00A76D14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Autonomia Financeira     </w:t>
      </w:r>
      <w:r w:rsidRPr="00443C4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= </w:t>
      </w:r>
      <w:r w:rsidR="00C94795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   </w:t>
      </w:r>
      <w:r w:rsidRPr="00443C44">
        <w:rPr>
          <w:rFonts w:eastAsia="Times New Roman" w:cstheme="minorHAnsi"/>
          <w:color w:val="000000"/>
          <w:sz w:val="28"/>
          <w:szCs w:val="28"/>
          <w:u w:val="single"/>
          <w:lang w:val="pt-BR" w:eastAsia="pt-PT"/>
        </w:rPr>
        <w:t>Capitais Próprios</w:t>
      </w:r>
    </w:p>
    <w:p w:rsidR="00A76D14" w:rsidRDefault="00A76D14" w:rsidP="00A76D14">
      <w:pPr>
        <w:spacing w:after="0" w:line="240" w:lineRule="auto"/>
        <w:ind w:left="3540" w:firstLine="708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Activo Total </w:t>
      </w:r>
    </w:p>
    <w:p w:rsidR="009C02C9" w:rsidRDefault="009C02C9" w:rsidP="009C02C9">
      <w:pPr>
        <w:spacing w:after="0" w:line="240" w:lineRule="auto"/>
        <w:rPr>
          <w:sz w:val="23"/>
          <w:szCs w:val="23"/>
        </w:rPr>
      </w:pPr>
    </w:p>
    <w:p w:rsidR="009C02C9" w:rsidRDefault="009C02C9" w:rsidP="009C02C9">
      <w:pPr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Traduz a capacidade da empresa de financiar o activo através dos capitais próprios sem ter de recorrer a empréstimos.</w:t>
      </w:r>
    </w:p>
    <w:p w:rsidR="00597B24" w:rsidRPr="00443C44" w:rsidRDefault="00597B24" w:rsidP="00597B24">
      <w:pPr>
        <w:pStyle w:val="PargrafodaLista"/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443C44">
        <w:rPr>
          <w:rFonts w:cstheme="minorHAnsi"/>
          <w:color w:val="000000"/>
          <w:sz w:val="20"/>
          <w:szCs w:val="20"/>
        </w:rPr>
        <w:t xml:space="preserve">Um valor </w:t>
      </w:r>
      <w:r w:rsidRPr="00443C44">
        <w:rPr>
          <w:rFonts w:cstheme="minorHAnsi"/>
          <w:b/>
          <w:bCs/>
          <w:color w:val="000000"/>
          <w:sz w:val="20"/>
          <w:szCs w:val="20"/>
        </w:rPr>
        <w:t>inferior a 1/3</w:t>
      </w:r>
      <w:r w:rsidRPr="00443C44">
        <w:rPr>
          <w:rFonts w:cstheme="minorHAnsi"/>
          <w:color w:val="000000"/>
          <w:sz w:val="20"/>
          <w:szCs w:val="20"/>
        </w:rPr>
        <w:t>, significa uma excessiva dependência de capitais alheios.</w:t>
      </w:r>
    </w:p>
    <w:p w:rsidR="00597B24" w:rsidRPr="00443C44" w:rsidRDefault="00597B24" w:rsidP="00597B24">
      <w:pPr>
        <w:pStyle w:val="PargrafodaLista"/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443C44">
        <w:rPr>
          <w:rFonts w:cstheme="minorHAnsi"/>
          <w:color w:val="000000"/>
          <w:sz w:val="20"/>
          <w:szCs w:val="20"/>
        </w:rPr>
        <w:t xml:space="preserve">Um valor </w:t>
      </w:r>
      <w:r w:rsidRPr="00443C44">
        <w:rPr>
          <w:rFonts w:cstheme="minorHAnsi"/>
          <w:b/>
          <w:bCs/>
          <w:color w:val="000000"/>
          <w:sz w:val="20"/>
          <w:szCs w:val="20"/>
        </w:rPr>
        <w:t>maior ou igual a 1/3</w:t>
      </w:r>
      <w:r w:rsidRPr="00443C44">
        <w:rPr>
          <w:rFonts w:cstheme="minorHAnsi"/>
          <w:color w:val="000000"/>
          <w:sz w:val="20"/>
          <w:szCs w:val="20"/>
        </w:rPr>
        <w:t>, representa um bom grau de autonomia financeira.</w:t>
      </w:r>
    </w:p>
    <w:p w:rsidR="00597B24" w:rsidRDefault="00597B24" w:rsidP="00A76D14">
      <w:pPr>
        <w:spacing w:after="0" w:line="240" w:lineRule="auto"/>
        <w:ind w:left="3540" w:firstLine="708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F67E23" w:rsidRPr="00A76D14" w:rsidRDefault="00F67E23" w:rsidP="00A76D14">
      <w:pPr>
        <w:spacing w:after="0" w:line="240" w:lineRule="auto"/>
        <w:ind w:left="3540" w:firstLine="708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A76D14" w:rsidRPr="00C94795" w:rsidRDefault="00A76D14" w:rsidP="00A76D14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u w:val="single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Solvabilidade  </w:t>
      </w:r>
      <w:r w:rsidRPr="00443C4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= </w:t>
      </w:r>
      <w:r w:rsidRPr="00D97CA9">
        <w:rPr>
          <w:rFonts w:eastAsia="Times New Roman" w:cstheme="minorHAnsi"/>
          <w:color w:val="000000"/>
          <w:sz w:val="28"/>
          <w:szCs w:val="28"/>
          <w:u w:val="single"/>
          <w:lang w:val="pt-BR" w:eastAsia="pt-PT"/>
        </w:rPr>
        <w:t xml:space="preserve"> </w:t>
      </w:r>
      <w:r w:rsidR="00D97CA9" w:rsidRPr="00D97CA9">
        <w:rPr>
          <w:rFonts w:eastAsia="Times New Roman" w:cstheme="minorHAnsi"/>
          <w:color w:val="000000"/>
          <w:sz w:val="28"/>
          <w:szCs w:val="28"/>
          <w:u w:val="single"/>
          <w:lang w:val="pt-BR" w:eastAsia="pt-PT"/>
        </w:rPr>
        <w:t xml:space="preserve">     </w:t>
      </w:r>
      <w:r w:rsidRPr="00443C44">
        <w:rPr>
          <w:rFonts w:eastAsia="Times New Roman" w:cstheme="minorHAnsi"/>
          <w:color w:val="000000"/>
          <w:sz w:val="28"/>
          <w:szCs w:val="28"/>
          <w:u w:val="single"/>
          <w:lang w:val="pt-BR" w:eastAsia="pt-PT"/>
        </w:rPr>
        <w:t>Activo</w:t>
      </w:r>
      <w:r w:rsidR="00D97CA9">
        <w:rPr>
          <w:rFonts w:eastAsia="Times New Roman" w:cstheme="minorHAnsi"/>
          <w:color w:val="000000"/>
          <w:sz w:val="28"/>
          <w:szCs w:val="28"/>
          <w:u w:val="single"/>
          <w:lang w:val="pt-BR" w:eastAsia="pt-PT"/>
        </w:rPr>
        <w:t>______</w:t>
      </w:r>
    </w:p>
    <w:p w:rsidR="00C94795" w:rsidRDefault="00D97CA9" w:rsidP="00D97CA9">
      <w:pPr>
        <w:spacing w:after="0" w:line="240" w:lineRule="auto"/>
        <w:ind w:left="2124" w:firstLine="708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  <w:r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  <w:t>Passivo</w:t>
      </w:r>
    </w:p>
    <w:p w:rsidR="00D97CA9" w:rsidRPr="00D97CA9" w:rsidRDefault="00D97CA9" w:rsidP="00D97CA9">
      <w:pP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</w:p>
    <w:p w:rsidR="00A76D14" w:rsidRDefault="00C94795" w:rsidP="00C94795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>
        <w:rPr>
          <w:sz w:val="23"/>
          <w:szCs w:val="23"/>
        </w:rPr>
        <w:t xml:space="preserve">É a capacidade da empresa para solver os seus compromissos a médio e longo prazo, isto é, a capacidade de pagar as dívidas. Traduz a posição de independência da empresa face aos credores. </w:t>
      </w:r>
      <w:r w:rsidR="00A76D14" w:rsidRPr="00443C4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         </w:t>
      </w:r>
    </w:p>
    <w:p w:rsidR="00A36F6A" w:rsidRDefault="00A36F6A" w:rsidP="00C94795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E26286" w:rsidRPr="00443C44" w:rsidRDefault="00E26286" w:rsidP="00E26286">
      <w:pPr>
        <w:pStyle w:val="PargrafodaLista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443C44">
        <w:rPr>
          <w:rFonts w:cstheme="minorHAnsi"/>
          <w:color w:val="000000"/>
          <w:sz w:val="20"/>
          <w:szCs w:val="20"/>
        </w:rPr>
        <w:t xml:space="preserve">Um valor </w:t>
      </w:r>
      <w:r w:rsidRPr="00443C44">
        <w:rPr>
          <w:rFonts w:cstheme="minorHAnsi"/>
          <w:b/>
          <w:bCs/>
          <w:color w:val="000000"/>
          <w:sz w:val="20"/>
          <w:szCs w:val="20"/>
        </w:rPr>
        <w:t>superior a 1</w:t>
      </w:r>
      <w:r w:rsidRPr="00443C44">
        <w:rPr>
          <w:rFonts w:cstheme="minorHAnsi"/>
          <w:color w:val="000000"/>
          <w:sz w:val="20"/>
          <w:szCs w:val="20"/>
        </w:rPr>
        <w:t>, significa que o valor do património é suficiente para cobrir todas as dívidas da empresa.</w:t>
      </w:r>
    </w:p>
    <w:p w:rsidR="00E26286" w:rsidRPr="00443C44" w:rsidRDefault="00E26286" w:rsidP="00E26286">
      <w:pPr>
        <w:pStyle w:val="PargrafodaLista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443C44">
        <w:rPr>
          <w:rFonts w:cstheme="minorHAnsi"/>
          <w:color w:val="000000"/>
          <w:sz w:val="20"/>
          <w:szCs w:val="20"/>
        </w:rPr>
        <w:t xml:space="preserve">Um valor </w:t>
      </w:r>
      <w:r w:rsidRPr="00443C44">
        <w:rPr>
          <w:rFonts w:cstheme="minorHAnsi"/>
          <w:b/>
          <w:bCs/>
          <w:color w:val="000000"/>
          <w:sz w:val="20"/>
          <w:szCs w:val="20"/>
        </w:rPr>
        <w:t>inferior a 1</w:t>
      </w:r>
      <w:r w:rsidRPr="00443C44">
        <w:rPr>
          <w:rFonts w:cstheme="minorHAnsi"/>
          <w:color w:val="000000"/>
          <w:sz w:val="20"/>
          <w:szCs w:val="20"/>
        </w:rPr>
        <w:t>, significa que a empresa está impossibilitada de satisfazer todos os seus compromissos com meios próprios.</w:t>
      </w:r>
    </w:p>
    <w:p w:rsidR="00A76D14" w:rsidRPr="00443C44" w:rsidRDefault="00A76D14" w:rsidP="00A76D14">
      <w:pP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</w:p>
    <w:p w:rsidR="00A76D14" w:rsidRPr="00443C44" w:rsidRDefault="00A76D14" w:rsidP="00A76D14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Cobertura do Imobilizado  </w:t>
      </w:r>
      <w:r w:rsidRPr="00443C4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= </w:t>
      </w:r>
      <w:r w:rsidRPr="00443C44">
        <w:rPr>
          <w:rFonts w:eastAsia="Times New Roman" w:cstheme="minorHAnsi"/>
          <w:color w:val="000000"/>
          <w:sz w:val="28"/>
          <w:szCs w:val="28"/>
          <w:u w:val="single"/>
          <w:lang w:val="pt-BR" w:eastAsia="pt-PT"/>
        </w:rPr>
        <w:t>Capitais Permanentes</w:t>
      </w:r>
    </w:p>
    <w:p w:rsidR="00A76D14" w:rsidRDefault="00A76D14" w:rsidP="00A76D14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                                                             </w:t>
      </w:r>
      <w:r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Imobilizado Líquido </w:t>
      </w:r>
    </w:p>
    <w:p w:rsidR="00F67E23" w:rsidRPr="00443C44" w:rsidRDefault="00F67E23" w:rsidP="00A76D14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A76D14" w:rsidRPr="00443C44" w:rsidRDefault="00A76D14" w:rsidP="00A76D14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>Cobertura de Encargos Financeiros</w:t>
      </w:r>
    </w:p>
    <w:p w:rsidR="00A76D14" w:rsidRPr="00A76D14" w:rsidRDefault="00A76D14" w:rsidP="00A76D14">
      <w:pPr>
        <w:pStyle w:val="PargrafodaLista"/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</w:t>
      </w:r>
      <w:r w:rsidRPr="00443C4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= </w:t>
      </w:r>
      <w:r w:rsidRPr="00A76D14">
        <w:rPr>
          <w:rFonts w:eastAsia="Times New Roman" w:cstheme="minorHAnsi"/>
          <w:color w:val="000000"/>
          <w:sz w:val="28"/>
          <w:szCs w:val="28"/>
          <w:u w:val="single"/>
          <w:lang w:val="pt-BR" w:eastAsia="pt-PT"/>
        </w:rPr>
        <w:t>Result. Líqu. antes dos Imp. + Enc. Financ.Líqu.</w:t>
      </w:r>
      <w:r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 </w:t>
      </w:r>
    </w:p>
    <w:p w:rsidR="00A76D14" w:rsidRDefault="00A76D14" w:rsidP="00A76D14">
      <w:pPr>
        <w:spacing w:after="0" w:line="240" w:lineRule="auto"/>
        <w:ind w:left="1416" w:firstLine="708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>Enc. Financ. Líquidos</w:t>
      </w:r>
    </w:p>
    <w:p w:rsidR="00810473" w:rsidRDefault="00810473" w:rsidP="00A76D14">
      <w:pPr>
        <w:spacing w:after="0" w:line="240" w:lineRule="auto"/>
        <w:ind w:left="1416" w:firstLine="708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810473" w:rsidRPr="00810473" w:rsidRDefault="00810473" w:rsidP="00810473">
      <w:pPr>
        <w:pStyle w:val="PargrafodaLista"/>
        <w:numPr>
          <w:ilvl w:val="0"/>
          <w:numId w:val="13"/>
        </w:numPr>
        <w:spacing w:after="0" w:line="240" w:lineRule="auto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810473">
        <w:rPr>
          <w:sz w:val="23"/>
          <w:szCs w:val="23"/>
        </w:rPr>
        <w:t>mede o grau com que os resultados antes de encargos financeiros e amortizações cobrem os encargos financeiros</w:t>
      </w:r>
    </w:p>
    <w:p w:rsidR="00A76D14" w:rsidRPr="00A76D14" w:rsidRDefault="00A76D14" w:rsidP="00A76D14">
      <w:pPr>
        <w:spacing w:after="0" w:line="240" w:lineRule="auto"/>
        <w:ind w:left="1416" w:firstLine="708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 </w:t>
      </w:r>
    </w:p>
    <w:p w:rsidR="00A76D14" w:rsidRPr="00443C44" w:rsidRDefault="00A76D14" w:rsidP="00A76D14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Capacidade de Reembolso   </w:t>
      </w:r>
      <w:r w:rsidRPr="00443C4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= </w:t>
      </w:r>
      <w:r w:rsidRPr="00443C44">
        <w:rPr>
          <w:rFonts w:eastAsia="Times New Roman" w:cstheme="minorHAnsi"/>
          <w:color w:val="000000"/>
          <w:sz w:val="28"/>
          <w:szCs w:val="28"/>
          <w:u w:val="single"/>
          <w:lang w:val="pt-BR" w:eastAsia="pt-PT"/>
        </w:rPr>
        <w:t>Meios Libertos(</w:t>
      </w:r>
      <w:r w:rsidRPr="00443C44">
        <w:rPr>
          <w:rFonts w:eastAsia="Times New Roman" w:cstheme="minorHAnsi"/>
          <w:i/>
          <w:iCs/>
          <w:color w:val="000000"/>
          <w:sz w:val="28"/>
          <w:szCs w:val="28"/>
          <w:u w:val="single"/>
          <w:lang w:val="pt-BR" w:eastAsia="pt-PT"/>
        </w:rPr>
        <w:t>Cash Flow)</w:t>
      </w:r>
    </w:p>
    <w:p w:rsidR="00A76D14" w:rsidRPr="00A76D14" w:rsidRDefault="00A76D14" w:rsidP="00A76D14">
      <w:pPr>
        <w:spacing w:line="240" w:lineRule="auto"/>
        <w:ind w:left="3540" w:firstLine="708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>Passivo de Financiamento</w:t>
      </w:r>
    </w:p>
    <w:p w:rsidR="00A76D14" w:rsidRDefault="00A76D14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9A35A7" w:rsidRDefault="009A35A7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9A35A7" w:rsidRPr="00443C44" w:rsidRDefault="009A35A7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87002F" w:rsidRDefault="00A76D14" w:rsidP="00870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lastRenderedPageBreak/>
        <w:t>Rácios de Actividade ou Funcionamento</w:t>
      </w:r>
      <w:r w:rsidR="00D95D82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(Económicos)</w:t>
      </w:r>
    </w:p>
    <w:p w:rsidR="00A76D14" w:rsidRPr="00443C44" w:rsidRDefault="0087002F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>
        <w:rPr>
          <w:rFonts w:eastAsia="Times New Roman" w:cstheme="minorHAnsi"/>
          <w:color w:val="000000"/>
          <w:sz w:val="28"/>
          <w:szCs w:val="28"/>
          <w:lang w:val="pt-BR" w:eastAsia="pt-PT"/>
        </w:rPr>
        <w:t>I</w:t>
      </w:r>
      <w:r w:rsidR="00A76D14"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ndicam como a empresa está a utilizar os </w:t>
      </w:r>
      <w:r>
        <w:rPr>
          <w:rFonts w:eastAsia="Times New Roman" w:cstheme="minorHAnsi"/>
          <w:color w:val="000000"/>
          <w:sz w:val="28"/>
          <w:szCs w:val="28"/>
          <w:lang w:val="pt-BR" w:eastAsia="pt-PT"/>
        </w:rPr>
        <w:t>recursos de que dispõe</w:t>
      </w:r>
      <w:r w:rsidR="00A76D14" w:rsidRPr="00A76D14">
        <w:rPr>
          <w:rFonts w:eastAsia="Times New Roman" w:cstheme="minorHAnsi"/>
          <w:color w:val="000000"/>
          <w:sz w:val="28"/>
          <w:szCs w:val="28"/>
          <w:lang w:val="pt-BR" w:eastAsia="pt-PT"/>
        </w:rPr>
        <w:t xml:space="preserve"> </w:t>
      </w:r>
    </w:p>
    <w:p w:rsidR="00DB4B50" w:rsidRPr="00DB4B50" w:rsidRDefault="00DB4B50" w:rsidP="00A76D14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val="pt-BR" w:eastAsia="pt-PT"/>
        </w:rPr>
      </w:pPr>
    </w:p>
    <w:p w:rsidR="00A76D14" w:rsidRDefault="00A76D14" w:rsidP="00BB65F5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Prazo Médio de </w:t>
      </w:r>
      <w:r w:rsidR="00C332B8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>Recebimentos</w:t>
      </w: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 = ( Clientes ÷Vendas ) * 365 </w:t>
      </w:r>
    </w:p>
    <w:p w:rsidR="00C332B8" w:rsidRDefault="00C332B8" w:rsidP="00C332B8">
      <w:pPr>
        <w:pStyle w:val="PargrafodaLista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Um rácio alto é, em termos financeiros, desfavorável</w:t>
      </w:r>
    </w:p>
    <w:p w:rsidR="00C332B8" w:rsidRPr="00443C44" w:rsidRDefault="00C332B8" w:rsidP="00C332B8">
      <w:pPr>
        <w:pStyle w:val="PargrafodaLista"/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</w:p>
    <w:p w:rsidR="00A76D14" w:rsidRDefault="00A76D14" w:rsidP="00BB65F5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Prazo Médio de Pagamentos = ( Fornecedores ÷Compras ) * 365 </w:t>
      </w:r>
    </w:p>
    <w:p w:rsidR="0025740F" w:rsidRDefault="0025740F" w:rsidP="0025740F">
      <w:pPr>
        <w:pStyle w:val="PargrafodaLista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Quanto mais baixo o rácio, menor o grau de financiamento que os fornecedores fazem à exploração.</w:t>
      </w:r>
    </w:p>
    <w:p w:rsidR="0025740F" w:rsidRPr="00443C44" w:rsidRDefault="0025740F" w:rsidP="0025740F">
      <w:pPr>
        <w:pStyle w:val="PargrafodaLista"/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</w:p>
    <w:p w:rsidR="00A76D14" w:rsidRPr="00443C44" w:rsidRDefault="00A76D14" w:rsidP="00BB65F5">
      <w:pPr>
        <w:pStyle w:val="PargrafodaLista"/>
        <w:numPr>
          <w:ilvl w:val="0"/>
          <w:numId w:val="2"/>
        </w:num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Prazo Médio de Existências = (Existências÷ Vendas ) * 365 </w:t>
      </w:r>
    </w:p>
    <w:p w:rsidR="00A76D14" w:rsidRPr="00443C44" w:rsidRDefault="00A76D14" w:rsidP="00A76D14">
      <w:pPr>
        <w:spacing w:line="264" w:lineRule="atLeast"/>
        <w:jc w:val="both"/>
        <w:rPr>
          <w:rFonts w:eastAsia="Times New Roman" w:cstheme="minorHAnsi"/>
          <w:color w:val="000000"/>
          <w:sz w:val="24"/>
          <w:szCs w:val="24"/>
          <w:lang w:val="pt-BR" w:eastAsia="pt-PT"/>
        </w:rPr>
      </w:pPr>
    </w:p>
    <w:p w:rsidR="00A76D14" w:rsidRPr="00A76D14" w:rsidRDefault="00A76D14" w:rsidP="00A76D14">
      <w:pPr>
        <w:spacing w:line="264" w:lineRule="atLeast"/>
        <w:jc w:val="both"/>
        <w:rPr>
          <w:rFonts w:eastAsia="Times New Roman" w:cstheme="minorHAnsi"/>
          <w:color w:val="000000"/>
          <w:sz w:val="24"/>
          <w:szCs w:val="24"/>
          <w:lang w:val="pt-BR" w:eastAsia="pt-PT"/>
        </w:rPr>
      </w:pPr>
      <w:r w:rsidRPr="00A76D14">
        <w:rPr>
          <w:rFonts w:eastAsia="Times New Roman" w:cstheme="minorHAnsi"/>
          <w:color w:val="000000"/>
          <w:sz w:val="24"/>
          <w:szCs w:val="24"/>
          <w:lang w:val="pt-BR" w:eastAsia="pt-PT"/>
        </w:rPr>
        <w:t>Normalmente é desejável que o</w:t>
      </w:r>
      <w:r w:rsidRPr="00443C4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  <w:r w:rsidRPr="00A76D14">
        <w:rPr>
          <w:rFonts w:eastAsia="Times New Roman" w:cstheme="minorHAnsi"/>
          <w:color w:val="000000"/>
          <w:sz w:val="24"/>
          <w:szCs w:val="24"/>
          <w:lang w:val="pt-BR" w:eastAsia="pt-PT"/>
        </w:rPr>
        <w:t>Tempo Médio de Cobrança seja</w:t>
      </w:r>
      <w:r w:rsidRPr="00443C4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  <w:r w:rsidRPr="00A76D14">
        <w:rPr>
          <w:rFonts w:eastAsia="Times New Roman" w:cstheme="minorHAnsi"/>
          <w:bCs/>
          <w:color w:val="000000"/>
          <w:sz w:val="24"/>
          <w:szCs w:val="24"/>
          <w:lang w:val="pt-BR" w:eastAsia="pt-PT"/>
        </w:rPr>
        <w:t>inferior</w:t>
      </w:r>
      <w:r w:rsidRPr="00A76D1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ao</w:t>
      </w:r>
      <w:r w:rsidRPr="00A76D14">
        <w:rPr>
          <w:rFonts w:eastAsia="Times New Roman" w:cstheme="minorHAnsi"/>
          <w:color w:val="000000"/>
          <w:sz w:val="24"/>
          <w:szCs w:val="24"/>
          <w:lang w:val="pt-BR" w:eastAsia="pt-PT"/>
        </w:rPr>
        <w:br/>
        <w:t>Tempo Médio de Pagamentos</w:t>
      </w:r>
      <w:r w:rsidR="00BB65F5" w:rsidRPr="00443C44">
        <w:rPr>
          <w:rFonts w:eastAsia="Times New Roman" w:cstheme="minorHAnsi"/>
          <w:color w:val="000000"/>
          <w:sz w:val="24"/>
          <w:szCs w:val="24"/>
          <w:lang w:val="pt-BR" w:eastAsia="pt-PT"/>
        </w:rPr>
        <w:t>.</w:t>
      </w:r>
    </w:p>
    <w:p w:rsidR="00A76D14" w:rsidRPr="00A76D14" w:rsidRDefault="00A76D14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BC1AB2" w:rsidRDefault="00A76D14" w:rsidP="00BC1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62" w:lineRule="atLeast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A76D1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>Rácios de Rendibilidade ou Rentabilidade</w:t>
      </w:r>
      <w:r w:rsidR="00CB28F2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(Economicos)</w:t>
      </w:r>
    </w:p>
    <w:p w:rsidR="0034286E" w:rsidRDefault="0034286E" w:rsidP="00BB65F5">
      <w:pPr>
        <w:spacing w:after="0" w:line="262" w:lineRule="atLeast"/>
        <w:jc w:val="both"/>
        <w:rPr>
          <w:rFonts w:eastAsia="Times New Roman" w:cstheme="minorHAnsi"/>
          <w:color w:val="000000"/>
          <w:sz w:val="24"/>
          <w:szCs w:val="24"/>
          <w:lang w:val="pt-BR" w:eastAsia="pt-PT"/>
        </w:rPr>
      </w:pPr>
    </w:p>
    <w:p w:rsidR="00BB65F5" w:rsidRPr="00BB65F5" w:rsidRDefault="00BC1AB2" w:rsidP="00BB65F5">
      <w:pPr>
        <w:spacing w:after="0" w:line="262" w:lineRule="atLeast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>
        <w:rPr>
          <w:rFonts w:eastAsia="Times New Roman" w:cstheme="minorHAnsi"/>
          <w:color w:val="000000"/>
          <w:sz w:val="24"/>
          <w:szCs w:val="24"/>
          <w:lang w:val="pt-BR" w:eastAsia="pt-PT"/>
        </w:rPr>
        <w:t>A</w:t>
      </w:r>
      <w:r w:rsidR="00A76D14" w:rsidRPr="00A76D14">
        <w:rPr>
          <w:rFonts w:eastAsia="Times New Roman" w:cstheme="minorHAnsi"/>
          <w:color w:val="000000"/>
          <w:sz w:val="24"/>
          <w:szCs w:val="24"/>
          <w:lang w:val="pt-BR" w:eastAsia="pt-PT"/>
        </w:rPr>
        <w:t>valiam a eficácia na utilização dos recursos pos</w:t>
      </w:r>
      <w:r w:rsidR="00BB65F5" w:rsidRPr="00443C4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tos à disposição da empresa; </w:t>
      </w:r>
      <w:r w:rsidR="00BB65F5" w:rsidRPr="00BB65F5">
        <w:rPr>
          <w:rFonts w:eastAsia="Times New Roman" w:cstheme="minorHAnsi"/>
          <w:color w:val="000000"/>
          <w:sz w:val="24"/>
          <w:szCs w:val="24"/>
          <w:lang w:val="pt-BR" w:eastAsia="pt-PT"/>
        </w:rPr>
        <w:t>São indicadores, pelo menos no curto prazo, do</w:t>
      </w:r>
      <w:r w:rsidR="00BB65F5" w:rsidRPr="00443C44">
        <w:rPr>
          <w:rFonts w:eastAsia="Times New Roman" w:cstheme="minorHAnsi"/>
          <w:color w:val="000000"/>
          <w:sz w:val="24"/>
          <w:szCs w:val="24"/>
          <w:lang w:val="pt-BR" w:eastAsia="pt-PT"/>
        </w:rPr>
        <w:t xml:space="preserve"> </w:t>
      </w:r>
      <w:r w:rsidR="00BB65F5" w:rsidRPr="00BB65F5">
        <w:rPr>
          <w:rFonts w:eastAsia="Times New Roman" w:cstheme="minorHAnsi"/>
          <w:color w:val="000000"/>
          <w:sz w:val="24"/>
          <w:szCs w:val="24"/>
          <w:lang w:val="pt-BR" w:eastAsia="pt-PT"/>
        </w:rPr>
        <w:t>sucesso da gestão da empresa, isto é, da capacidade degerar um excedente económico com a sua actividade.</w:t>
      </w:r>
    </w:p>
    <w:p w:rsidR="00A76D14" w:rsidRPr="00443C44" w:rsidRDefault="00A76D14" w:rsidP="00A76D14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</w:p>
    <w:p w:rsidR="00BB65F5" w:rsidRPr="00443C44" w:rsidRDefault="00B66688" w:rsidP="00BB65F5">
      <w:pPr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lang w:val="pt-BR" w:eastAsia="pt-PT"/>
        </w:rPr>
      </w:pPr>
      <w:r>
        <w:rPr>
          <w:rFonts w:eastAsia="Times New Roman" w:cstheme="minorHAnsi"/>
          <w:b/>
          <w:color w:val="000000"/>
          <w:sz w:val="28"/>
          <w:szCs w:val="28"/>
          <w:lang w:val="pt-BR" w:eastAsia="pt-PT"/>
        </w:rPr>
        <w:t>Rendibilidade Comercial</w:t>
      </w:r>
    </w:p>
    <w:p w:rsidR="00BB65F5" w:rsidRDefault="00BB65F5" w:rsidP="00B15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u w:val="single"/>
          <w:lang w:val="pt-BR" w:eastAsia="pt-PT"/>
        </w:rPr>
      </w:pPr>
      <w:r w:rsidRPr="00BB65F5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>Rendibilidade</w:t>
      </w:r>
      <w:r w:rsidR="00716B3E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Liquida das</w:t>
      </w:r>
      <w:r w:rsidRPr="00BB65F5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Vendas = </w:t>
      </w: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</w:t>
      </w:r>
      <w:r w:rsidRPr="00BB65F5">
        <w:rPr>
          <w:rFonts w:eastAsia="Times New Roman" w:cstheme="minorHAnsi"/>
          <w:b/>
          <w:bCs/>
          <w:color w:val="000000"/>
          <w:sz w:val="28"/>
          <w:szCs w:val="28"/>
          <w:u w:val="single"/>
          <w:lang w:val="pt-BR" w:eastAsia="pt-PT"/>
        </w:rPr>
        <w:t>Resultados Líquidos</w:t>
      </w:r>
    </w:p>
    <w:p w:rsidR="00B1591C" w:rsidRPr="00BB65F5" w:rsidRDefault="00B1591C" w:rsidP="00B15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color w:val="000000"/>
          <w:spacing w:val="166"/>
          <w:sz w:val="28"/>
          <w:szCs w:val="28"/>
          <w:lang w:val="pt-BR" w:eastAsia="pt-PT"/>
        </w:rPr>
      </w:pP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                                                       Vendas</w:t>
      </w:r>
    </w:p>
    <w:p w:rsidR="00BB65F5" w:rsidRPr="00B1591C" w:rsidRDefault="00BB65F5" w:rsidP="00BB65F5">
      <w:pPr>
        <w:pStyle w:val="PargrafodaLista"/>
        <w:numPr>
          <w:ilvl w:val="0"/>
          <w:numId w:val="3"/>
        </w:num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t-BR" w:eastAsia="pt-PT"/>
        </w:rPr>
      </w:pPr>
      <w:r w:rsidRPr="00B1591C">
        <w:rPr>
          <w:rFonts w:eastAsia="Times New Roman" w:cstheme="minorHAnsi"/>
          <w:color w:val="000000"/>
          <w:sz w:val="20"/>
          <w:szCs w:val="20"/>
          <w:lang w:val="pt-BR" w:eastAsia="pt-PT"/>
        </w:rPr>
        <w:t>é a margem de lucro</w:t>
      </w:r>
    </w:p>
    <w:p w:rsidR="00BB65F5" w:rsidRPr="00B1591C" w:rsidRDefault="00BB65F5" w:rsidP="00BB65F5">
      <w:pPr>
        <w:pStyle w:val="PargrafodaLista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val="pt-BR" w:eastAsia="pt-PT"/>
        </w:rPr>
      </w:pPr>
      <w:r w:rsidRPr="00B1591C">
        <w:rPr>
          <w:rFonts w:eastAsia="Times New Roman" w:cstheme="minorHAnsi"/>
          <w:color w:val="000000"/>
          <w:sz w:val="20"/>
          <w:szCs w:val="20"/>
          <w:lang w:val="pt-BR" w:eastAsia="pt-PT"/>
        </w:rPr>
        <w:t xml:space="preserve">é o que sobra depois de suportados todos os custos </w:t>
      </w:r>
    </w:p>
    <w:p w:rsidR="00BB65F5" w:rsidRPr="00B1591C" w:rsidRDefault="00BB65F5" w:rsidP="00BB65F5">
      <w:pPr>
        <w:pStyle w:val="PargrafodaLista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pacing w:val="84"/>
          <w:sz w:val="20"/>
          <w:szCs w:val="20"/>
          <w:lang w:val="pt-BR" w:eastAsia="pt-PT"/>
        </w:rPr>
      </w:pPr>
      <w:r w:rsidRPr="00B1591C">
        <w:rPr>
          <w:rFonts w:eastAsia="Times New Roman" w:cstheme="minorHAnsi"/>
          <w:color w:val="000000"/>
          <w:sz w:val="20"/>
          <w:szCs w:val="20"/>
          <w:lang w:val="pt-BR" w:eastAsia="pt-PT"/>
        </w:rPr>
        <w:t>é quanto se ganha por euro de venda</w:t>
      </w:r>
    </w:p>
    <w:p w:rsidR="00C3127D" w:rsidRDefault="00C3127D" w:rsidP="00BB65F5">
      <w:pP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</w:p>
    <w:p w:rsidR="00C3127D" w:rsidRPr="00C3127D" w:rsidRDefault="00C3127D" w:rsidP="00BB65F5">
      <w:pPr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lang w:val="pt-BR" w:eastAsia="pt-PT"/>
        </w:rPr>
      </w:pPr>
      <w:r>
        <w:rPr>
          <w:rFonts w:eastAsia="Times New Roman" w:cstheme="minorHAnsi"/>
          <w:b/>
          <w:color w:val="000000"/>
          <w:sz w:val="28"/>
          <w:szCs w:val="28"/>
          <w:lang w:val="pt-BR" w:eastAsia="pt-PT"/>
        </w:rPr>
        <w:t>Rendibilidade Finaceira</w:t>
      </w:r>
    </w:p>
    <w:p w:rsidR="00BB65F5" w:rsidRDefault="00BB65F5" w:rsidP="00E44C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u w:val="single"/>
          <w:lang w:val="pt-BR" w:eastAsia="pt-PT"/>
        </w:rPr>
      </w:pPr>
      <w:r w:rsidRPr="00BB65F5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Rendibilidade Capitais Próprios = </w:t>
      </w: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   </w:t>
      </w:r>
      <w:r w:rsidRPr="00BB65F5">
        <w:rPr>
          <w:rFonts w:eastAsia="Times New Roman" w:cstheme="minorHAnsi"/>
          <w:b/>
          <w:bCs/>
          <w:color w:val="000000"/>
          <w:sz w:val="28"/>
          <w:szCs w:val="28"/>
          <w:u w:val="single"/>
          <w:lang w:val="pt-BR" w:eastAsia="pt-PT"/>
        </w:rPr>
        <w:t>Res. Líquidos</w:t>
      </w:r>
    </w:p>
    <w:p w:rsidR="00E44CBC" w:rsidRPr="00BB65F5" w:rsidRDefault="00E44CBC" w:rsidP="00E44C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  <w:t>Cap.Próprios</w:t>
      </w:r>
    </w:p>
    <w:p w:rsidR="00BB65F5" w:rsidRPr="00292DBB" w:rsidRDefault="00BB65F5" w:rsidP="00BB65F5">
      <w:pPr>
        <w:pStyle w:val="PargrafodaLista"/>
        <w:numPr>
          <w:ilvl w:val="0"/>
          <w:numId w:val="4"/>
        </w:num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t-BR" w:eastAsia="pt-PT"/>
        </w:rPr>
      </w:pPr>
      <w:r w:rsidRPr="00292DBB">
        <w:rPr>
          <w:rFonts w:eastAsia="Times New Roman" w:cstheme="minorHAnsi"/>
          <w:color w:val="000000"/>
          <w:sz w:val="20"/>
          <w:szCs w:val="20"/>
          <w:lang w:val="pt-BR" w:eastAsia="pt-PT"/>
        </w:rPr>
        <w:t>é remuneração gerada pelos capitais próprios</w:t>
      </w:r>
    </w:p>
    <w:p w:rsidR="00292DBB" w:rsidRPr="00292DBB" w:rsidRDefault="00292DBB" w:rsidP="00BB65F5">
      <w:pPr>
        <w:pStyle w:val="PargrafodaLista"/>
        <w:numPr>
          <w:ilvl w:val="0"/>
          <w:numId w:val="4"/>
        </w:num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292DBB">
        <w:rPr>
          <w:rFonts w:cstheme="minorHAnsi"/>
          <w:color w:val="000000"/>
          <w:sz w:val="20"/>
          <w:szCs w:val="20"/>
        </w:rPr>
        <w:t xml:space="preserve">relaciona o lucro obtido num determinado exercício com o capital próprio da empresa. </w:t>
      </w:r>
    </w:p>
    <w:p w:rsidR="00292DBB" w:rsidRPr="00292DBB" w:rsidRDefault="00292DBB" w:rsidP="00BB65F5">
      <w:pPr>
        <w:pStyle w:val="PargrafodaLista"/>
        <w:numPr>
          <w:ilvl w:val="0"/>
          <w:numId w:val="4"/>
        </w:numP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  <w:r w:rsidRPr="00292DBB">
        <w:rPr>
          <w:rFonts w:cstheme="minorHAnsi"/>
          <w:color w:val="000000"/>
          <w:sz w:val="20"/>
          <w:szCs w:val="20"/>
        </w:rPr>
        <w:t>Permite ao accionista avaliar a taxa de retorno do capital que investiu, podendo compará-la com outras remunerações oferecidas no mercado de capitais.</w:t>
      </w:r>
    </w:p>
    <w:p w:rsidR="00292DBB" w:rsidRPr="00443C44" w:rsidRDefault="00292DBB" w:rsidP="00292DBB">
      <w:pPr>
        <w:pStyle w:val="PargrafodaLista"/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</w:pPr>
    </w:p>
    <w:p w:rsidR="00BB65F5" w:rsidRPr="00443C44" w:rsidRDefault="002F3DE0" w:rsidP="00BB65F5">
      <w:pP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  <w:r>
        <w:rPr>
          <w:rFonts w:eastAsia="Times New Roman" w:cstheme="minorHAnsi"/>
          <w:b/>
          <w:color w:val="000000"/>
          <w:sz w:val="28"/>
          <w:szCs w:val="28"/>
          <w:lang w:val="pt-BR" w:eastAsia="pt-PT"/>
        </w:rPr>
        <w:t>Rendibilidade Económica</w:t>
      </w:r>
    </w:p>
    <w:p w:rsidR="00BB65F5" w:rsidRDefault="00BB65F5" w:rsidP="00BF0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b/>
          <w:bCs/>
          <w:color w:val="000000"/>
          <w:sz w:val="28"/>
          <w:szCs w:val="28"/>
          <w:u w:val="single"/>
          <w:lang w:val="pt-BR" w:eastAsia="pt-PT"/>
        </w:rPr>
      </w:pPr>
      <w:r w:rsidRPr="00BB65F5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Rendibilidade do Activo = </w:t>
      </w:r>
      <w:r w:rsidRPr="00443C44"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 xml:space="preserve">  </w:t>
      </w:r>
      <w:r w:rsidRPr="00BB65F5">
        <w:rPr>
          <w:rFonts w:eastAsia="Times New Roman" w:cstheme="minorHAnsi"/>
          <w:b/>
          <w:bCs/>
          <w:color w:val="000000"/>
          <w:sz w:val="28"/>
          <w:szCs w:val="28"/>
          <w:u w:val="single"/>
          <w:lang w:val="pt-BR" w:eastAsia="pt-PT"/>
        </w:rPr>
        <w:t>Resultados Líquidos</w:t>
      </w:r>
    </w:p>
    <w:p w:rsidR="00BF04F4" w:rsidRPr="00BB65F5" w:rsidRDefault="00BF04F4" w:rsidP="00BF0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color w:val="000000"/>
          <w:spacing w:val="82"/>
          <w:sz w:val="28"/>
          <w:szCs w:val="28"/>
          <w:lang w:val="pt-BR" w:eastAsia="pt-PT"/>
        </w:rPr>
      </w:pP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</w:r>
      <w:r>
        <w:rPr>
          <w:rFonts w:eastAsia="Times New Roman" w:cstheme="minorHAnsi"/>
          <w:b/>
          <w:bCs/>
          <w:color w:val="000000"/>
          <w:sz w:val="28"/>
          <w:szCs w:val="28"/>
          <w:lang w:val="pt-BR" w:eastAsia="pt-PT"/>
        </w:rPr>
        <w:tab/>
        <w:t xml:space="preserve">   Activo</w:t>
      </w:r>
    </w:p>
    <w:p w:rsidR="00BB65F5" w:rsidRPr="00FA2DA1" w:rsidRDefault="00BB65F5" w:rsidP="00BB65F5">
      <w:pPr>
        <w:pStyle w:val="PargrafodaLista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val="pt-BR" w:eastAsia="pt-PT"/>
        </w:rPr>
      </w:pPr>
      <w:r w:rsidRPr="00FA2DA1">
        <w:rPr>
          <w:rFonts w:eastAsia="Times New Roman" w:cstheme="minorHAnsi"/>
          <w:color w:val="000000"/>
          <w:sz w:val="20"/>
          <w:szCs w:val="20"/>
          <w:lang w:val="pt-BR" w:eastAsia="pt-PT"/>
        </w:rPr>
        <w:t xml:space="preserve">é a rendibilidade de todos os activos </w:t>
      </w:r>
      <w:r w:rsidRPr="00BB65F5">
        <w:rPr>
          <w:rFonts w:eastAsia="Times New Roman" w:cstheme="minorHAnsi"/>
          <w:color w:val="000000"/>
          <w:sz w:val="20"/>
          <w:szCs w:val="20"/>
          <w:lang w:val="pt-BR" w:eastAsia="pt-PT"/>
        </w:rPr>
        <w:t>utilizados pela empresa</w:t>
      </w:r>
    </w:p>
    <w:p w:rsidR="00FA2DA1" w:rsidRPr="00FA2DA1" w:rsidRDefault="00FA2DA1" w:rsidP="00BB65F5">
      <w:pPr>
        <w:pStyle w:val="PargrafodaLista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val="pt-BR" w:eastAsia="pt-PT"/>
        </w:rPr>
      </w:pPr>
      <w:r w:rsidRPr="00FA2DA1">
        <w:rPr>
          <w:rFonts w:cstheme="minorHAnsi"/>
          <w:color w:val="000000"/>
          <w:sz w:val="20"/>
          <w:szCs w:val="20"/>
        </w:rPr>
        <w:t>relaciona o lucro obtido num determinado exercício com o activo total da empresa</w:t>
      </w:r>
    </w:p>
    <w:p w:rsidR="00BB65F5" w:rsidRPr="0034286E" w:rsidRDefault="00FA2DA1" w:rsidP="00A76D14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val="pt-BR" w:eastAsia="pt-PT"/>
        </w:rPr>
      </w:pPr>
      <w:r w:rsidRPr="0034286E">
        <w:rPr>
          <w:rFonts w:cstheme="minorHAnsi"/>
          <w:color w:val="000000"/>
          <w:sz w:val="20"/>
          <w:szCs w:val="20"/>
        </w:rPr>
        <w:t>Mostra o lucro obtido pela empresa por cada unidade monetária investida, ou seja, a rendibilidade do investimento realizado.</w:t>
      </w:r>
    </w:p>
    <w:sectPr w:rsidR="00BB65F5" w:rsidRPr="003428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C7C" w:rsidRDefault="000D1C7C" w:rsidP="0034286E">
      <w:pPr>
        <w:spacing w:after="0" w:line="240" w:lineRule="auto"/>
      </w:pPr>
      <w:r>
        <w:separator/>
      </w:r>
    </w:p>
  </w:endnote>
  <w:endnote w:type="continuationSeparator" w:id="0">
    <w:p w:rsidR="000D1C7C" w:rsidRDefault="000D1C7C" w:rsidP="00342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C7C" w:rsidRDefault="000D1C7C" w:rsidP="0034286E">
      <w:pPr>
        <w:spacing w:after="0" w:line="240" w:lineRule="auto"/>
      </w:pPr>
      <w:r>
        <w:separator/>
      </w:r>
    </w:p>
  </w:footnote>
  <w:footnote w:type="continuationSeparator" w:id="0">
    <w:p w:rsidR="000D1C7C" w:rsidRDefault="000D1C7C" w:rsidP="00342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24AF"/>
    <w:multiLevelType w:val="hybridMultilevel"/>
    <w:tmpl w:val="09EA987C"/>
    <w:lvl w:ilvl="0" w:tplc="0816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873ACD"/>
    <w:multiLevelType w:val="hybridMultilevel"/>
    <w:tmpl w:val="F280DD08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A2A34"/>
    <w:multiLevelType w:val="hybridMultilevel"/>
    <w:tmpl w:val="93E67BFA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8700A"/>
    <w:multiLevelType w:val="hybridMultilevel"/>
    <w:tmpl w:val="8B92CB8C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055EE4"/>
    <w:multiLevelType w:val="hybridMultilevel"/>
    <w:tmpl w:val="3E4406DC"/>
    <w:lvl w:ilvl="0" w:tplc="0816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3FD7FDF"/>
    <w:multiLevelType w:val="hybridMultilevel"/>
    <w:tmpl w:val="C1BE2480"/>
    <w:lvl w:ilvl="0" w:tplc="0816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47F077D"/>
    <w:multiLevelType w:val="hybridMultilevel"/>
    <w:tmpl w:val="B644D170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F91887"/>
    <w:multiLevelType w:val="hybridMultilevel"/>
    <w:tmpl w:val="786A102E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9A27B4"/>
    <w:multiLevelType w:val="hybridMultilevel"/>
    <w:tmpl w:val="BBF40F6A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FB2FFA"/>
    <w:multiLevelType w:val="hybridMultilevel"/>
    <w:tmpl w:val="A2CA8F36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37113D"/>
    <w:multiLevelType w:val="hybridMultilevel"/>
    <w:tmpl w:val="2C00606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BD1D75"/>
    <w:multiLevelType w:val="hybridMultilevel"/>
    <w:tmpl w:val="7B666B8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8843EA"/>
    <w:multiLevelType w:val="hybridMultilevel"/>
    <w:tmpl w:val="542815A4"/>
    <w:lvl w:ilvl="0" w:tplc="0816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736541A2"/>
    <w:multiLevelType w:val="hybridMultilevel"/>
    <w:tmpl w:val="E5C4151A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13"/>
  </w:num>
  <w:num w:numId="5">
    <w:abstractNumId w:val="2"/>
  </w:num>
  <w:num w:numId="6">
    <w:abstractNumId w:val="1"/>
  </w:num>
  <w:num w:numId="7">
    <w:abstractNumId w:val="5"/>
  </w:num>
  <w:num w:numId="8">
    <w:abstractNumId w:val="4"/>
  </w:num>
  <w:num w:numId="9">
    <w:abstractNumId w:val="0"/>
  </w:num>
  <w:num w:numId="10">
    <w:abstractNumId w:val="3"/>
  </w:num>
  <w:num w:numId="11">
    <w:abstractNumId w:val="8"/>
  </w:num>
  <w:num w:numId="12">
    <w:abstractNumId w:val="10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14"/>
    <w:rsid w:val="000125AE"/>
    <w:rsid w:val="000266AA"/>
    <w:rsid w:val="000D1C7C"/>
    <w:rsid w:val="001269C5"/>
    <w:rsid w:val="00127B8F"/>
    <w:rsid w:val="001760FA"/>
    <w:rsid w:val="001D3B5D"/>
    <w:rsid w:val="002257FF"/>
    <w:rsid w:val="0025518A"/>
    <w:rsid w:val="0025740F"/>
    <w:rsid w:val="00292DBB"/>
    <w:rsid w:val="002D7C7E"/>
    <w:rsid w:val="002F3DE0"/>
    <w:rsid w:val="00331AA7"/>
    <w:rsid w:val="0034286E"/>
    <w:rsid w:val="00385F7E"/>
    <w:rsid w:val="003B67F9"/>
    <w:rsid w:val="003C37A1"/>
    <w:rsid w:val="00407B30"/>
    <w:rsid w:val="00443C44"/>
    <w:rsid w:val="0047521E"/>
    <w:rsid w:val="00597B24"/>
    <w:rsid w:val="006A2BE5"/>
    <w:rsid w:val="006C5C60"/>
    <w:rsid w:val="0071110C"/>
    <w:rsid w:val="00712BB8"/>
    <w:rsid w:val="00716B3E"/>
    <w:rsid w:val="00781CE1"/>
    <w:rsid w:val="00810473"/>
    <w:rsid w:val="00816357"/>
    <w:rsid w:val="008276A1"/>
    <w:rsid w:val="0087002F"/>
    <w:rsid w:val="008F09E1"/>
    <w:rsid w:val="008F1E70"/>
    <w:rsid w:val="00933A35"/>
    <w:rsid w:val="0095757F"/>
    <w:rsid w:val="009A35A7"/>
    <w:rsid w:val="009C02C9"/>
    <w:rsid w:val="009E734A"/>
    <w:rsid w:val="00A12224"/>
    <w:rsid w:val="00A36F6A"/>
    <w:rsid w:val="00A562C9"/>
    <w:rsid w:val="00A76D14"/>
    <w:rsid w:val="00AA34F9"/>
    <w:rsid w:val="00AE4B0C"/>
    <w:rsid w:val="00AE5F7A"/>
    <w:rsid w:val="00B1591C"/>
    <w:rsid w:val="00B175D7"/>
    <w:rsid w:val="00B64D79"/>
    <w:rsid w:val="00B66688"/>
    <w:rsid w:val="00BB3AD3"/>
    <w:rsid w:val="00BB65F5"/>
    <w:rsid w:val="00BC1AB2"/>
    <w:rsid w:val="00BF04F4"/>
    <w:rsid w:val="00C3127D"/>
    <w:rsid w:val="00C332B8"/>
    <w:rsid w:val="00C35BE1"/>
    <w:rsid w:val="00C94795"/>
    <w:rsid w:val="00CA32E6"/>
    <w:rsid w:val="00CB28F2"/>
    <w:rsid w:val="00D361B8"/>
    <w:rsid w:val="00D950EF"/>
    <w:rsid w:val="00D95D82"/>
    <w:rsid w:val="00D97CA9"/>
    <w:rsid w:val="00DB4B50"/>
    <w:rsid w:val="00DF6809"/>
    <w:rsid w:val="00E26286"/>
    <w:rsid w:val="00E44CBC"/>
    <w:rsid w:val="00E50EE4"/>
    <w:rsid w:val="00F24EBE"/>
    <w:rsid w:val="00F67E23"/>
    <w:rsid w:val="00FA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76D14"/>
    <w:pPr>
      <w:ind w:left="720"/>
      <w:contextualSpacing/>
    </w:pPr>
  </w:style>
  <w:style w:type="paragraph" w:customStyle="1" w:styleId="Default">
    <w:name w:val="Default"/>
    <w:rsid w:val="00AE5F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arcter"/>
    <w:uiPriority w:val="99"/>
    <w:unhideWhenUsed/>
    <w:rsid w:val="00342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4286E"/>
  </w:style>
  <w:style w:type="paragraph" w:styleId="Rodap">
    <w:name w:val="footer"/>
    <w:basedOn w:val="Normal"/>
    <w:link w:val="RodapCarcter"/>
    <w:uiPriority w:val="99"/>
    <w:unhideWhenUsed/>
    <w:rsid w:val="00342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428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76D14"/>
    <w:pPr>
      <w:ind w:left="720"/>
      <w:contextualSpacing/>
    </w:pPr>
  </w:style>
  <w:style w:type="paragraph" w:customStyle="1" w:styleId="Default">
    <w:name w:val="Default"/>
    <w:rsid w:val="00AE5F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arcter"/>
    <w:uiPriority w:val="99"/>
    <w:unhideWhenUsed/>
    <w:rsid w:val="00342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4286E"/>
  </w:style>
  <w:style w:type="paragraph" w:styleId="Rodap">
    <w:name w:val="footer"/>
    <w:basedOn w:val="Normal"/>
    <w:link w:val="RodapCarcter"/>
    <w:uiPriority w:val="99"/>
    <w:unhideWhenUsed/>
    <w:rsid w:val="00342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42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4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0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13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859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44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50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58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00281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3418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350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332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107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1156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1357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4877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2774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0451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488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152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0146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9051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294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0158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8273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1732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2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5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86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981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18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63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151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539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47970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226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682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6140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12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2443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1632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314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87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356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6588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482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7885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6126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4477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6009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2539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7146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342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2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20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0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62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58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1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005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370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709023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80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364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2578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533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777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4942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0255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2389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84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384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1972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4857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5883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1003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5326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1110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4306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586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6829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0584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4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70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177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88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21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068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31649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634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027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703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969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975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5885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570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3641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5771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2373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7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4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83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17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058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239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258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52156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66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78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20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2675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078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1148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53910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818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9883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959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3736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8869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6475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903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1006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7583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3521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67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9410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103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4461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843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</dc:creator>
  <cp:lastModifiedBy>Contabilidade</cp:lastModifiedBy>
  <cp:revision>71</cp:revision>
  <cp:lastPrinted>2011-08-08T13:01:00Z</cp:lastPrinted>
  <dcterms:created xsi:type="dcterms:W3CDTF">2011-08-08T10:50:00Z</dcterms:created>
  <dcterms:modified xsi:type="dcterms:W3CDTF">2011-08-08T13:01:00Z</dcterms:modified>
</cp:coreProperties>
</file>