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920008"/>
        <w:docPartObj>
          <w:docPartGallery w:val="Table of Contents"/>
          <w:docPartUnique/>
        </w:docPartObj>
      </w:sdtPr>
      <w:sdtEndPr>
        <w:rPr>
          <w:rFonts w:ascii="Calibri" w:eastAsia="Calibri" w:hAnsi="Calibri"/>
          <w:b w:val="0"/>
          <w:bCs w:val="0"/>
          <w:color w:val="auto"/>
          <w:sz w:val="22"/>
          <w:szCs w:val="22"/>
        </w:rPr>
      </w:sdtEndPr>
      <w:sdtContent>
        <w:p w:rsidR="00256C2D" w:rsidRDefault="00256C2D">
          <w:pPr>
            <w:pStyle w:val="Ttulodondice"/>
          </w:pPr>
          <w:r>
            <w:t>Índice</w:t>
          </w:r>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r>
            <w:fldChar w:fldCharType="begin"/>
          </w:r>
          <w:r>
            <w:instrText xml:space="preserve"> TOC \o "1-3" \h \z \u </w:instrText>
          </w:r>
          <w:r>
            <w:fldChar w:fldCharType="separate"/>
          </w:r>
          <w:hyperlink w:anchor="_Toc290996375" w:history="1">
            <w:r w:rsidRPr="0029455E">
              <w:rPr>
                <w:rStyle w:val="Hiperligao"/>
                <w:rFonts w:ascii="Georgia" w:eastAsia="Times New Roman" w:hAnsi="Georgia" w:cs="Arial"/>
                <w:noProof/>
                <w:spacing w:val="-12"/>
                <w:lang w:eastAsia="pt-PT"/>
              </w:rPr>
              <w:t>Para que serve a contabilidade?</w:t>
            </w:r>
            <w:r>
              <w:rPr>
                <w:noProof/>
                <w:webHidden/>
              </w:rPr>
              <w:tab/>
            </w:r>
            <w:r>
              <w:rPr>
                <w:noProof/>
                <w:webHidden/>
              </w:rPr>
              <w:fldChar w:fldCharType="begin"/>
            </w:r>
            <w:r>
              <w:rPr>
                <w:noProof/>
                <w:webHidden/>
              </w:rPr>
              <w:instrText xml:space="preserve"> PAGEREF _Toc290996375 \h </w:instrText>
            </w:r>
            <w:r>
              <w:rPr>
                <w:noProof/>
                <w:webHidden/>
              </w:rPr>
            </w:r>
            <w:r>
              <w:rPr>
                <w:noProof/>
                <w:webHidden/>
              </w:rPr>
              <w:fldChar w:fldCharType="separate"/>
            </w:r>
            <w:r>
              <w:rPr>
                <w:noProof/>
                <w:webHidden/>
              </w:rPr>
              <w:t>1</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76" w:history="1">
            <w:r w:rsidRPr="0029455E">
              <w:rPr>
                <w:rStyle w:val="Hiperligao"/>
                <w:rFonts w:ascii="Georgia" w:eastAsia="Times New Roman" w:hAnsi="Georgia" w:cs="Arial"/>
                <w:noProof/>
                <w:spacing w:val="-12"/>
                <w:lang w:eastAsia="pt-PT"/>
              </w:rPr>
              <w:t>Porque precisamos de um novo Sistema de Normalização Contabilística?</w:t>
            </w:r>
            <w:r>
              <w:rPr>
                <w:noProof/>
                <w:webHidden/>
              </w:rPr>
              <w:tab/>
            </w:r>
            <w:r>
              <w:rPr>
                <w:noProof/>
                <w:webHidden/>
              </w:rPr>
              <w:fldChar w:fldCharType="begin"/>
            </w:r>
            <w:r>
              <w:rPr>
                <w:noProof/>
                <w:webHidden/>
              </w:rPr>
              <w:instrText xml:space="preserve"> PAGEREF _Toc290996376 \h </w:instrText>
            </w:r>
            <w:r>
              <w:rPr>
                <w:noProof/>
                <w:webHidden/>
              </w:rPr>
            </w:r>
            <w:r>
              <w:rPr>
                <w:noProof/>
                <w:webHidden/>
              </w:rPr>
              <w:fldChar w:fldCharType="separate"/>
            </w:r>
            <w:r>
              <w:rPr>
                <w:noProof/>
                <w:webHidden/>
              </w:rPr>
              <w:t>3</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77" w:history="1">
            <w:r w:rsidRPr="0029455E">
              <w:rPr>
                <w:rStyle w:val="Hiperligao"/>
                <w:rFonts w:ascii="Georgia" w:hAnsi="Georgia" w:cs="Arial"/>
                <w:noProof/>
                <w:spacing w:val="-12"/>
              </w:rPr>
              <w:t>Algumas mudanças importantes trazidas pelo novo sistema de normalização contabilística</w:t>
            </w:r>
            <w:r>
              <w:rPr>
                <w:noProof/>
                <w:webHidden/>
              </w:rPr>
              <w:tab/>
            </w:r>
            <w:r>
              <w:rPr>
                <w:noProof/>
                <w:webHidden/>
              </w:rPr>
              <w:fldChar w:fldCharType="begin"/>
            </w:r>
            <w:r>
              <w:rPr>
                <w:noProof/>
                <w:webHidden/>
              </w:rPr>
              <w:instrText xml:space="preserve"> PAGEREF _Toc290996377 \h </w:instrText>
            </w:r>
            <w:r>
              <w:rPr>
                <w:noProof/>
                <w:webHidden/>
              </w:rPr>
            </w:r>
            <w:r>
              <w:rPr>
                <w:noProof/>
                <w:webHidden/>
              </w:rPr>
              <w:fldChar w:fldCharType="separate"/>
            </w:r>
            <w:r>
              <w:rPr>
                <w:noProof/>
                <w:webHidden/>
              </w:rPr>
              <w:t>6</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78" w:history="1">
            <w:r w:rsidRPr="0029455E">
              <w:rPr>
                <w:rStyle w:val="Hiperligao"/>
                <w:rFonts w:ascii="Georgia" w:eastAsia="Times New Roman" w:hAnsi="Georgia" w:cs="Arial"/>
                <w:noProof/>
                <w:spacing w:val="-12"/>
                <w:lang w:eastAsia="pt-PT"/>
              </w:rPr>
              <w:t>O “International Accounting Standards Board” (IASB) e as Normas Internacionais de Contabilidade (NIC)</w:t>
            </w:r>
            <w:r>
              <w:rPr>
                <w:noProof/>
                <w:webHidden/>
              </w:rPr>
              <w:tab/>
            </w:r>
            <w:r>
              <w:rPr>
                <w:noProof/>
                <w:webHidden/>
              </w:rPr>
              <w:fldChar w:fldCharType="begin"/>
            </w:r>
            <w:r>
              <w:rPr>
                <w:noProof/>
                <w:webHidden/>
              </w:rPr>
              <w:instrText xml:space="preserve"> PAGEREF _Toc290996378 \h </w:instrText>
            </w:r>
            <w:r>
              <w:rPr>
                <w:noProof/>
                <w:webHidden/>
              </w:rPr>
            </w:r>
            <w:r>
              <w:rPr>
                <w:noProof/>
                <w:webHidden/>
              </w:rPr>
              <w:fldChar w:fldCharType="separate"/>
            </w:r>
            <w:r>
              <w:rPr>
                <w:noProof/>
                <w:webHidden/>
              </w:rPr>
              <w:t>8</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79" w:history="1">
            <w:r w:rsidRPr="0029455E">
              <w:rPr>
                <w:rStyle w:val="Hiperligao"/>
                <w:rFonts w:ascii="Georgia" w:eastAsia="Times New Roman" w:hAnsi="Georgia" w:cs="Arial"/>
                <w:noProof/>
                <w:spacing w:val="-12"/>
                <w:lang w:eastAsia="pt-PT"/>
              </w:rPr>
              <w:t>Nomenclatura decorrente da entrada em vigor do Sistema de Nomalização Contabilística (SNC)</w:t>
            </w:r>
            <w:r>
              <w:rPr>
                <w:noProof/>
                <w:webHidden/>
              </w:rPr>
              <w:tab/>
            </w:r>
            <w:r>
              <w:rPr>
                <w:noProof/>
                <w:webHidden/>
              </w:rPr>
              <w:fldChar w:fldCharType="begin"/>
            </w:r>
            <w:r>
              <w:rPr>
                <w:noProof/>
                <w:webHidden/>
              </w:rPr>
              <w:instrText xml:space="preserve"> PAGEREF _Toc290996379 \h </w:instrText>
            </w:r>
            <w:r>
              <w:rPr>
                <w:noProof/>
                <w:webHidden/>
              </w:rPr>
            </w:r>
            <w:r>
              <w:rPr>
                <w:noProof/>
                <w:webHidden/>
              </w:rPr>
              <w:fldChar w:fldCharType="separate"/>
            </w:r>
            <w:r>
              <w:rPr>
                <w:noProof/>
                <w:webHidden/>
              </w:rPr>
              <w:t>11</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0" w:history="1">
            <w:r w:rsidRPr="0029455E">
              <w:rPr>
                <w:rStyle w:val="Hiperligao"/>
                <w:rFonts w:ascii="Georgia" w:eastAsia="Times New Roman" w:hAnsi="Georgia" w:cs="Arial"/>
                <w:noProof/>
                <w:spacing w:val="-12"/>
                <w:lang w:eastAsia="pt-PT"/>
              </w:rPr>
              <w:t xml:space="preserve">Preparado para o novo sistema de normalização contabilística? </w:t>
            </w:r>
            <w:r w:rsidRPr="0029455E">
              <w:rPr>
                <w:rStyle w:val="Hiperligao"/>
                <w:rFonts w:ascii="Georgia" w:eastAsia="Times New Roman" w:hAnsi="Georgia" w:cs="Arial"/>
                <w:noProof/>
                <w:spacing w:val="-12"/>
                <w:vertAlign w:val="superscript"/>
                <w:lang w:eastAsia="pt-PT"/>
              </w:rPr>
              <w:t>Em Destaque</w:t>
            </w:r>
            <w:r>
              <w:rPr>
                <w:noProof/>
                <w:webHidden/>
              </w:rPr>
              <w:tab/>
            </w:r>
            <w:r>
              <w:rPr>
                <w:noProof/>
                <w:webHidden/>
              </w:rPr>
              <w:fldChar w:fldCharType="begin"/>
            </w:r>
            <w:r>
              <w:rPr>
                <w:noProof/>
                <w:webHidden/>
              </w:rPr>
              <w:instrText xml:space="preserve"> PAGEREF _Toc290996380 \h </w:instrText>
            </w:r>
            <w:r>
              <w:rPr>
                <w:noProof/>
                <w:webHidden/>
              </w:rPr>
            </w:r>
            <w:r>
              <w:rPr>
                <w:noProof/>
                <w:webHidden/>
              </w:rPr>
              <w:fldChar w:fldCharType="separate"/>
            </w:r>
            <w:r>
              <w:rPr>
                <w:noProof/>
                <w:webHidden/>
              </w:rPr>
              <w:t>13</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1" w:history="1">
            <w:r w:rsidRPr="0029455E">
              <w:rPr>
                <w:rStyle w:val="Hiperligao"/>
                <w:rFonts w:ascii="Georgia" w:eastAsia="Times New Roman" w:hAnsi="Georgia" w:cs="Arial"/>
                <w:noProof/>
                <w:spacing w:val="-12"/>
                <w:lang w:eastAsia="pt-PT"/>
              </w:rPr>
              <w:t xml:space="preserve">Introdução ao novo Sistema de Normalização Contabilística </w:t>
            </w:r>
            <w:r w:rsidRPr="0029455E">
              <w:rPr>
                <w:rStyle w:val="Hiperligao"/>
                <w:rFonts w:ascii="Georgia" w:eastAsia="Times New Roman" w:hAnsi="Georgia" w:cs="Arial"/>
                <w:noProof/>
                <w:spacing w:val="-12"/>
                <w:vertAlign w:val="superscript"/>
                <w:lang w:eastAsia="pt-PT"/>
              </w:rPr>
              <w:t>Em Destaque</w:t>
            </w:r>
            <w:r>
              <w:rPr>
                <w:noProof/>
                <w:webHidden/>
              </w:rPr>
              <w:tab/>
            </w:r>
            <w:r>
              <w:rPr>
                <w:noProof/>
                <w:webHidden/>
              </w:rPr>
              <w:fldChar w:fldCharType="begin"/>
            </w:r>
            <w:r>
              <w:rPr>
                <w:noProof/>
                <w:webHidden/>
              </w:rPr>
              <w:instrText xml:space="preserve"> PAGEREF _Toc290996381 \h </w:instrText>
            </w:r>
            <w:r>
              <w:rPr>
                <w:noProof/>
                <w:webHidden/>
              </w:rPr>
            </w:r>
            <w:r>
              <w:rPr>
                <w:noProof/>
                <w:webHidden/>
              </w:rPr>
              <w:fldChar w:fldCharType="separate"/>
            </w:r>
            <w:r>
              <w:rPr>
                <w:noProof/>
                <w:webHidden/>
              </w:rPr>
              <w:t>16</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2" w:history="1">
            <w:r w:rsidRPr="0029455E">
              <w:rPr>
                <w:rStyle w:val="Hiperligao"/>
                <w:rFonts w:ascii="Georgia" w:eastAsia="Times New Roman" w:hAnsi="Georgia" w:cs="Arial"/>
                <w:noProof/>
                <w:spacing w:val="-12"/>
                <w:lang w:eastAsia="pt-PT"/>
              </w:rPr>
              <w:t>NCRF 1 - Estrutura e Conteúdo das Demonstrações Financeiras - Comentário e explicações</w:t>
            </w:r>
            <w:r>
              <w:rPr>
                <w:noProof/>
                <w:webHidden/>
              </w:rPr>
              <w:tab/>
            </w:r>
            <w:r>
              <w:rPr>
                <w:noProof/>
                <w:webHidden/>
              </w:rPr>
              <w:fldChar w:fldCharType="begin"/>
            </w:r>
            <w:r>
              <w:rPr>
                <w:noProof/>
                <w:webHidden/>
              </w:rPr>
              <w:instrText xml:space="preserve"> PAGEREF _Toc290996382 \h </w:instrText>
            </w:r>
            <w:r>
              <w:rPr>
                <w:noProof/>
                <w:webHidden/>
              </w:rPr>
            </w:r>
            <w:r>
              <w:rPr>
                <w:noProof/>
                <w:webHidden/>
              </w:rPr>
              <w:fldChar w:fldCharType="separate"/>
            </w:r>
            <w:r>
              <w:rPr>
                <w:noProof/>
                <w:webHidden/>
              </w:rPr>
              <w:t>19</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3" w:history="1">
            <w:r w:rsidRPr="0029455E">
              <w:rPr>
                <w:rStyle w:val="Hiperligao"/>
                <w:rFonts w:ascii="Georgia" w:hAnsi="Georgia" w:cs="Arial"/>
                <w:noProof/>
                <w:spacing w:val="-12"/>
              </w:rPr>
              <w:t>NCRF 2 - Demonstração dos Fluxos de Caixa - Comentário e explicações</w:t>
            </w:r>
            <w:r>
              <w:rPr>
                <w:noProof/>
                <w:webHidden/>
              </w:rPr>
              <w:tab/>
            </w:r>
            <w:r>
              <w:rPr>
                <w:noProof/>
                <w:webHidden/>
              </w:rPr>
              <w:fldChar w:fldCharType="begin"/>
            </w:r>
            <w:r>
              <w:rPr>
                <w:noProof/>
                <w:webHidden/>
              </w:rPr>
              <w:instrText xml:space="preserve"> PAGEREF _Toc290996383 \h </w:instrText>
            </w:r>
            <w:r>
              <w:rPr>
                <w:noProof/>
                <w:webHidden/>
              </w:rPr>
            </w:r>
            <w:r>
              <w:rPr>
                <w:noProof/>
                <w:webHidden/>
              </w:rPr>
              <w:fldChar w:fldCharType="separate"/>
            </w:r>
            <w:r>
              <w:rPr>
                <w:noProof/>
                <w:webHidden/>
              </w:rPr>
              <w:t>23</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4" w:history="1">
            <w:r w:rsidRPr="0029455E">
              <w:rPr>
                <w:rStyle w:val="Hiperligao"/>
                <w:rFonts w:ascii="Georgia" w:hAnsi="Georgia" w:cs="Arial"/>
                <w:noProof/>
                <w:spacing w:val="-12"/>
              </w:rPr>
              <w:t>NCRF 3 - Adopção pela primeira vez das Normas Contabilísticas e de Relato Financeiro - Comentário e explicações</w:t>
            </w:r>
            <w:r>
              <w:rPr>
                <w:noProof/>
                <w:webHidden/>
              </w:rPr>
              <w:tab/>
            </w:r>
            <w:r>
              <w:rPr>
                <w:noProof/>
                <w:webHidden/>
              </w:rPr>
              <w:fldChar w:fldCharType="begin"/>
            </w:r>
            <w:r>
              <w:rPr>
                <w:noProof/>
                <w:webHidden/>
              </w:rPr>
              <w:instrText xml:space="preserve"> PAGEREF _Toc290996384 \h </w:instrText>
            </w:r>
            <w:r>
              <w:rPr>
                <w:noProof/>
                <w:webHidden/>
              </w:rPr>
            </w:r>
            <w:r>
              <w:rPr>
                <w:noProof/>
                <w:webHidden/>
              </w:rPr>
              <w:fldChar w:fldCharType="separate"/>
            </w:r>
            <w:r>
              <w:rPr>
                <w:noProof/>
                <w:webHidden/>
              </w:rPr>
              <w:t>25</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5" w:history="1">
            <w:r w:rsidRPr="0029455E">
              <w:rPr>
                <w:rStyle w:val="Hiperligao"/>
                <w:rFonts w:ascii="Georgia" w:hAnsi="Georgia" w:cs="Arial"/>
                <w:noProof/>
                <w:spacing w:val="-12"/>
              </w:rPr>
              <w:t>NCRF4 - Políticas contabilísticas, alterações nas estimativas contabilísticas e erros - Comentário e explicações</w:t>
            </w:r>
            <w:r>
              <w:rPr>
                <w:noProof/>
                <w:webHidden/>
              </w:rPr>
              <w:tab/>
            </w:r>
            <w:r>
              <w:rPr>
                <w:noProof/>
                <w:webHidden/>
              </w:rPr>
              <w:fldChar w:fldCharType="begin"/>
            </w:r>
            <w:r>
              <w:rPr>
                <w:noProof/>
                <w:webHidden/>
              </w:rPr>
              <w:instrText xml:space="preserve"> PAGEREF _Toc290996385 \h </w:instrText>
            </w:r>
            <w:r>
              <w:rPr>
                <w:noProof/>
                <w:webHidden/>
              </w:rPr>
            </w:r>
            <w:r>
              <w:rPr>
                <w:noProof/>
                <w:webHidden/>
              </w:rPr>
              <w:fldChar w:fldCharType="separate"/>
            </w:r>
            <w:r>
              <w:rPr>
                <w:noProof/>
                <w:webHidden/>
              </w:rPr>
              <w:t>29</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6" w:history="1">
            <w:r w:rsidRPr="0029455E">
              <w:rPr>
                <w:rStyle w:val="Hiperligao"/>
                <w:rFonts w:ascii="Georgia" w:eastAsia="Times New Roman" w:hAnsi="Georgia" w:cs="Arial"/>
                <w:noProof/>
                <w:spacing w:val="-12"/>
                <w:lang w:eastAsia="pt-PT"/>
              </w:rPr>
              <w:t>NCRF 5 - Divulgações de partes relacionadas - Comentário e explicações</w:t>
            </w:r>
            <w:r>
              <w:rPr>
                <w:noProof/>
                <w:webHidden/>
              </w:rPr>
              <w:tab/>
            </w:r>
            <w:r>
              <w:rPr>
                <w:noProof/>
                <w:webHidden/>
              </w:rPr>
              <w:fldChar w:fldCharType="begin"/>
            </w:r>
            <w:r>
              <w:rPr>
                <w:noProof/>
                <w:webHidden/>
              </w:rPr>
              <w:instrText xml:space="preserve"> PAGEREF _Toc290996386 \h </w:instrText>
            </w:r>
            <w:r>
              <w:rPr>
                <w:noProof/>
                <w:webHidden/>
              </w:rPr>
            </w:r>
            <w:r>
              <w:rPr>
                <w:noProof/>
                <w:webHidden/>
              </w:rPr>
              <w:fldChar w:fldCharType="separate"/>
            </w:r>
            <w:r>
              <w:rPr>
                <w:noProof/>
                <w:webHidden/>
              </w:rPr>
              <w:t>32</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7" w:history="1">
            <w:r w:rsidRPr="0029455E">
              <w:rPr>
                <w:rStyle w:val="Hiperligao"/>
                <w:rFonts w:ascii="Georgia" w:eastAsia="Times New Roman" w:hAnsi="Georgia" w:cs="Arial"/>
                <w:noProof/>
                <w:spacing w:val="-12"/>
                <w:lang w:eastAsia="pt-PT"/>
              </w:rPr>
              <w:t>NCRF 8 – Activos não Correntes detidos para venda e unidades operacionais descontinuadas - Síntese, exemplos e comentários</w:t>
            </w:r>
            <w:r>
              <w:rPr>
                <w:noProof/>
                <w:webHidden/>
              </w:rPr>
              <w:tab/>
            </w:r>
            <w:r>
              <w:rPr>
                <w:noProof/>
                <w:webHidden/>
              </w:rPr>
              <w:fldChar w:fldCharType="begin"/>
            </w:r>
            <w:r>
              <w:rPr>
                <w:noProof/>
                <w:webHidden/>
              </w:rPr>
              <w:instrText xml:space="preserve"> PAGEREF _Toc290996387 \h </w:instrText>
            </w:r>
            <w:r>
              <w:rPr>
                <w:noProof/>
                <w:webHidden/>
              </w:rPr>
            </w:r>
            <w:r>
              <w:rPr>
                <w:noProof/>
                <w:webHidden/>
              </w:rPr>
              <w:fldChar w:fldCharType="separate"/>
            </w:r>
            <w:r>
              <w:rPr>
                <w:noProof/>
                <w:webHidden/>
              </w:rPr>
              <w:t>43</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8" w:history="1">
            <w:r w:rsidRPr="0029455E">
              <w:rPr>
                <w:rStyle w:val="Hiperligao"/>
                <w:rFonts w:ascii="Georgia" w:eastAsia="Times New Roman" w:hAnsi="Georgia" w:cs="Arial"/>
                <w:noProof/>
                <w:spacing w:val="-12"/>
                <w:lang w:eastAsia="pt-PT"/>
              </w:rPr>
              <w:t>NCRF 9 – Locações - Síntese, exemplos e comentários</w:t>
            </w:r>
            <w:r>
              <w:rPr>
                <w:noProof/>
                <w:webHidden/>
              </w:rPr>
              <w:tab/>
            </w:r>
            <w:r>
              <w:rPr>
                <w:noProof/>
                <w:webHidden/>
              </w:rPr>
              <w:fldChar w:fldCharType="begin"/>
            </w:r>
            <w:r>
              <w:rPr>
                <w:noProof/>
                <w:webHidden/>
              </w:rPr>
              <w:instrText xml:space="preserve"> PAGEREF _Toc290996388 \h </w:instrText>
            </w:r>
            <w:r>
              <w:rPr>
                <w:noProof/>
                <w:webHidden/>
              </w:rPr>
            </w:r>
            <w:r>
              <w:rPr>
                <w:noProof/>
                <w:webHidden/>
              </w:rPr>
              <w:fldChar w:fldCharType="separate"/>
            </w:r>
            <w:r>
              <w:rPr>
                <w:noProof/>
                <w:webHidden/>
              </w:rPr>
              <w:t>44</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89" w:history="1">
            <w:r w:rsidRPr="0029455E">
              <w:rPr>
                <w:rStyle w:val="Hiperligao"/>
                <w:rFonts w:ascii="Georgia" w:eastAsia="Times New Roman" w:hAnsi="Georgia" w:cs="Arial"/>
                <w:noProof/>
                <w:spacing w:val="-12"/>
                <w:lang w:eastAsia="pt-PT"/>
              </w:rPr>
              <w:t>NCRF 10 – Custo dos empréstimos obtidos - Síntese, exemplos e comentários</w:t>
            </w:r>
            <w:r>
              <w:rPr>
                <w:noProof/>
                <w:webHidden/>
              </w:rPr>
              <w:tab/>
            </w:r>
            <w:r>
              <w:rPr>
                <w:noProof/>
                <w:webHidden/>
              </w:rPr>
              <w:fldChar w:fldCharType="begin"/>
            </w:r>
            <w:r>
              <w:rPr>
                <w:noProof/>
                <w:webHidden/>
              </w:rPr>
              <w:instrText xml:space="preserve"> PAGEREF _Toc290996389 \h </w:instrText>
            </w:r>
            <w:r>
              <w:rPr>
                <w:noProof/>
                <w:webHidden/>
              </w:rPr>
            </w:r>
            <w:r>
              <w:rPr>
                <w:noProof/>
                <w:webHidden/>
              </w:rPr>
              <w:fldChar w:fldCharType="separate"/>
            </w:r>
            <w:r>
              <w:rPr>
                <w:noProof/>
                <w:webHidden/>
              </w:rPr>
              <w:t>45</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0" w:history="1">
            <w:r w:rsidRPr="0029455E">
              <w:rPr>
                <w:rStyle w:val="Hiperligao"/>
                <w:rFonts w:ascii="Georgia" w:hAnsi="Georgia" w:cs="Arial"/>
                <w:noProof/>
                <w:spacing w:val="-12"/>
              </w:rPr>
              <w:t>NCRF 11 – Propriedades de investimento - Síntese, exemplos e comentários</w:t>
            </w:r>
            <w:r>
              <w:rPr>
                <w:noProof/>
                <w:webHidden/>
              </w:rPr>
              <w:tab/>
            </w:r>
            <w:r>
              <w:rPr>
                <w:noProof/>
                <w:webHidden/>
              </w:rPr>
              <w:fldChar w:fldCharType="begin"/>
            </w:r>
            <w:r>
              <w:rPr>
                <w:noProof/>
                <w:webHidden/>
              </w:rPr>
              <w:instrText xml:space="preserve"> PAGEREF _Toc290996390 \h </w:instrText>
            </w:r>
            <w:r>
              <w:rPr>
                <w:noProof/>
                <w:webHidden/>
              </w:rPr>
            </w:r>
            <w:r>
              <w:rPr>
                <w:noProof/>
                <w:webHidden/>
              </w:rPr>
              <w:fldChar w:fldCharType="separate"/>
            </w:r>
            <w:r>
              <w:rPr>
                <w:noProof/>
                <w:webHidden/>
              </w:rPr>
              <w:t>46</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1" w:history="1">
            <w:r w:rsidRPr="0029455E">
              <w:rPr>
                <w:rStyle w:val="Hiperligao"/>
                <w:rFonts w:ascii="Georgia" w:eastAsia="Times New Roman" w:hAnsi="Georgia" w:cs="Arial"/>
                <w:noProof/>
                <w:spacing w:val="-12"/>
                <w:lang w:eastAsia="pt-PT"/>
              </w:rPr>
              <w:t>NCRF 15 – Investimento em subsidiárias e consolidação - Síntese, exemplos e comentários</w:t>
            </w:r>
            <w:r>
              <w:rPr>
                <w:noProof/>
                <w:webHidden/>
              </w:rPr>
              <w:tab/>
            </w:r>
            <w:r>
              <w:rPr>
                <w:noProof/>
                <w:webHidden/>
              </w:rPr>
              <w:fldChar w:fldCharType="begin"/>
            </w:r>
            <w:r>
              <w:rPr>
                <w:noProof/>
                <w:webHidden/>
              </w:rPr>
              <w:instrText xml:space="preserve"> PAGEREF _Toc290996391 \h </w:instrText>
            </w:r>
            <w:r>
              <w:rPr>
                <w:noProof/>
                <w:webHidden/>
              </w:rPr>
            </w:r>
            <w:r>
              <w:rPr>
                <w:noProof/>
                <w:webHidden/>
              </w:rPr>
              <w:fldChar w:fldCharType="separate"/>
            </w:r>
            <w:r>
              <w:rPr>
                <w:noProof/>
                <w:webHidden/>
              </w:rPr>
              <w:t>52</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2" w:history="1">
            <w:r w:rsidRPr="0029455E">
              <w:rPr>
                <w:rStyle w:val="Hiperligao"/>
                <w:rFonts w:ascii="Georgia" w:hAnsi="Georgia" w:cs="Arial"/>
                <w:noProof/>
                <w:spacing w:val="-12"/>
              </w:rPr>
              <w:t>NCRF 16 – Exploração e avaliação de recursos minerais - Síntese, exemplos e comentários</w:t>
            </w:r>
            <w:r>
              <w:rPr>
                <w:noProof/>
                <w:webHidden/>
              </w:rPr>
              <w:tab/>
            </w:r>
            <w:r>
              <w:rPr>
                <w:noProof/>
                <w:webHidden/>
              </w:rPr>
              <w:fldChar w:fldCharType="begin"/>
            </w:r>
            <w:r>
              <w:rPr>
                <w:noProof/>
                <w:webHidden/>
              </w:rPr>
              <w:instrText xml:space="preserve"> PAGEREF _Toc290996392 \h </w:instrText>
            </w:r>
            <w:r>
              <w:rPr>
                <w:noProof/>
                <w:webHidden/>
              </w:rPr>
            </w:r>
            <w:r>
              <w:rPr>
                <w:noProof/>
                <w:webHidden/>
              </w:rPr>
              <w:fldChar w:fldCharType="separate"/>
            </w:r>
            <w:r>
              <w:rPr>
                <w:noProof/>
                <w:webHidden/>
              </w:rPr>
              <w:t>54</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3" w:history="1">
            <w:r w:rsidRPr="0029455E">
              <w:rPr>
                <w:rStyle w:val="Hiperligao"/>
                <w:rFonts w:ascii="Georgia" w:hAnsi="Georgia" w:cs="Arial"/>
                <w:noProof/>
                <w:spacing w:val="-12"/>
              </w:rPr>
              <w:t>NCRF 17 – Agricultura - Síntese, exemplos e comentários</w:t>
            </w:r>
            <w:r>
              <w:rPr>
                <w:noProof/>
                <w:webHidden/>
              </w:rPr>
              <w:tab/>
            </w:r>
            <w:r>
              <w:rPr>
                <w:noProof/>
                <w:webHidden/>
              </w:rPr>
              <w:fldChar w:fldCharType="begin"/>
            </w:r>
            <w:r>
              <w:rPr>
                <w:noProof/>
                <w:webHidden/>
              </w:rPr>
              <w:instrText xml:space="preserve"> PAGEREF _Toc290996393 \h </w:instrText>
            </w:r>
            <w:r>
              <w:rPr>
                <w:noProof/>
                <w:webHidden/>
              </w:rPr>
            </w:r>
            <w:r>
              <w:rPr>
                <w:noProof/>
                <w:webHidden/>
              </w:rPr>
              <w:fldChar w:fldCharType="separate"/>
            </w:r>
            <w:r>
              <w:rPr>
                <w:noProof/>
                <w:webHidden/>
              </w:rPr>
              <w:t>55</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4" w:history="1">
            <w:r w:rsidRPr="0029455E">
              <w:rPr>
                <w:rStyle w:val="Hiperligao"/>
                <w:rFonts w:ascii="Georgia" w:eastAsia="Times New Roman" w:hAnsi="Georgia" w:cs="Arial"/>
                <w:noProof/>
                <w:spacing w:val="-12"/>
                <w:lang w:eastAsia="pt-PT"/>
              </w:rPr>
              <w:t>NCRF 18 – Inventários - Síntese, exemplos e comentários</w:t>
            </w:r>
            <w:r>
              <w:rPr>
                <w:noProof/>
                <w:webHidden/>
              </w:rPr>
              <w:tab/>
            </w:r>
            <w:r>
              <w:rPr>
                <w:noProof/>
                <w:webHidden/>
              </w:rPr>
              <w:fldChar w:fldCharType="begin"/>
            </w:r>
            <w:r>
              <w:rPr>
                <w:noProof/>
                <w:webHidden/>
              </w:rPr>
              <w:instrText xml:space="preserve"> PAGEREF _Toc290996394 \h </w:instrText>
            </w:r>
            <w:r>
              <w:rPr>
                <w:noProof/>
                <w:webHidden/>
              </w:rPr>
            </w:r>
            <w:r>
              <w:rPr>
                <w:noProof/>
                <w:webHidden/>
              </w:rPr>
              <w:fldChar w:fldCharType="separate"/>
            </w:r>
            <w:r>
              <w:rPr>
                <w:noProof/>
                <w:webHidden/>
              </w:rPr>
              <w:t>57</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5" w:history="1">
            <w:r w:rsidRPr="0029455E">
              <w:rPr>
                <w:rStyle w:val="Hiperligao"/>
                <w:rFonts w:ascii="Georgia" w:hAnsi="Georgia" w:cs="Arial"/>
                <w:noProof/>
                <w:spacing w:val="-12"/>
              </w:rPr>
              <w:t>NCRF 19 – Contratos de construção - Síntese, exemplos e comentários</w:t>
            </w:r>
            <w:r>
              <w:rPr>
                <w:noProof/>
                <w:webHidden/>
              </w:rPr>
              <w:tab/>
            </w:r>
            <w:r>
              <w:rPr>
                <w:noProof/>
                <w:webHidden/>
              </w:rPr>
              <w:fldChar w:fldCharType="begin"/>
            </w:r>
            <w:r>
              <w:rPr>
                <w:noProof/>
                <w:webHidden/>
              </w:rPr>
              <w:instrText xml:space="preserve"> PAGEREF _Toc290996395 \h </w:instrText>
            </w:r>
            <w:r>
              <w:rPr>
                <w:noProof/>
                <w:webHidden/>
              </w:rPr>
            </w:r>
            <w:r>
              <w:rPr>
                <w:noProof/>
                <w:webHidden/>
              </w:rPr>
              <w:fldChar w:fldCharType="separate"/>
            </w:r>
            <w:r>
              <w:rPr>
                <w:noProof/>
                <w:webHidden/>
              </w:rPr>
              <w:t>59</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6" w:history="1">
            <w:r w:rsidRPr="0029455E">
              <w:rPr>
                <w:rStyle w:val="Hiperligao"/>
                <w:rFonts w:ascii="Georgia" w:eastAsia="Times New Roman" w:hAnsi="Georgia" w:cs="Arial"/>
                <w:noProof/>
                <w:spacing w:val="-12"/>
                <w:lang w:eastAsia="pt-PT"/>
              </w:rPr>
              <w:t>NCRF 20 – Rédito - Síntese, exemplos e comentários</w:t>
            </w:r>
            <w:r>
              <w:rPr>
                <w:noProof/>
                <w:webHidden/>
              </w:rPr>
              <w:tab/>
            </w:r>
            <w:r>
              <w:rPr>
                <w:noProof/>
                <w:webHidden/>
              </w:rPr>
              <w:fldChar w:fldCharType="begin"/>
            </w:r>
            <w:r>
              <w:rPr>
                <w:noProof/>
                <w:webHidden/>
              </w:rPr>
              <w:instrText xml:space="preserve"> PAGEREF _Toc290996396 \h </w:instrText>
            </w:r>
            <w:r>
              <w:rPr>
                <w:noProof/>
                <w:webHidden/>
              </w:rPr>
            </w:r>
            <w:r>
              <w:rPr>
                <w:noProof/>
                <w:webHidden/>
              </w:rPr>
              <w:fldChar w:fldCharType="separate"/>
            </w:r>
            <w:r>
              <w:rPr>
                <w:noProof/>
                <w:webHidden/>
              </w:rPr>
              <w:t>61</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7" w:history="1">
            <w:r w:rsidRPr="0029455E">
              <w:rPr>
                <w:rStyle w:val="Hiperligao"/>
                <w:rFonts w:ascii="Georgia" w:hAnsi="Georgia" w:cs="Arial"/>
                <w:noProof/>
                <w:spacing w:val="-12"/>
              </w:rPr>
              <w:t>NCRF 21 – Provisões, passivos contingentes e activos contingentes, exemplos e comentários</w:t>
            </w:r>
            <w:r>
              <w:rPr>
                <w:noProof/>
                <w:webHidden/>
              </w:rPr>
              <w:tab/>
            </w:r>
            <w:r>
              <w:rPr>
                <w:noProof/>
                <w:webHidden/>
              </w:rPr>
              <w:fldChar w:fldCharType="begin"/>
            </w:r>
            <w:r>
              <w:rPr>
                <w:noProof/>
                <w:webHidden/>
              </w:rPr>
              <w:instrText xml:space="preserve"> PAGEREF _Toc290996397 \h </w:instrText>
            </w:r>
            <w:r>
              <w:rPr>
                <w:noProof/>
                <w:webHidden/>
              </w:rPr>
            </w:r>
            <w:r>
              <w:rPr>
                <w:noProof/>
                <w:webHidden/>
              </w:rPr>
              <w:fldChar w:fldCharType="separate"/>
            </w:r>
            <w:r>
              <w:rPr>
                <w:noProof/>
                <w:webHidden/>
              </w:rPr>
              <w:t>63</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8" w:history="1">
            <w:r w:rsidRPr="0029455E">
              <w:rPr>
                <w:rStyle w:val="Hiperligao"/>
                <w:rFonts w:ascii="Georgia" w:hAnsi="Georgia" w:cs="Arial"/>
                <w:noProof/>
                <w:spacing w:val="-12"/>
              </w:rPr>
              <w:t>NCRF 22 – Contabilização e divulgação dos subsídios do Governo - exemplos e comentários</w:t>
            </w:r>
            <w:r>
              <w:rPr>
                <w:noProof/>
                <w:webHidden/>
              </w:rPr>
              <w:tab/>
            </w:r>
            <w:r>
              <w:rPr>
                <w:noProof/>
                <w:webHidden/>
              </w:rPr>
              <w:fldChar w:fldCharType="begin"/>
            </w:r>
            <w:r>
              <w:rPr>
                <w:noProof/>
                <w:webHidden/>
              </w:rPr>
              <w:instrText xml:space="preserve"> PAGEREF _Toc290996398 \h </w:instrText>
            </w:r>
            <w:r>
              <w:rPr>
                <w:noProof/>
                <w:webHidden/>
              </w:rPr>
            </w:r>
            <w:r>
              <w:rPr>
                <w:noProof/>
                <w:webHidden/>
              </w:rPr>
              <w:fldChar w:fldCharType="separate"/>
            </w:r>
            <w:r>
              <w:rPr>
                <w:noProof/>
                <w:webHidden/>
              </w:rPr>
              <w:t>64</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399" w:history="1">
            <w:r w:rsidRPr="0029455E">
              <w:rPr>
                <w:rStyle w:val="Hiperligao"/>
                <w:rFonts w:ascii="Georgia" w:hAnsi="Georgia" w:cs="Arial"/>
                <w:noProof/>
                <w:spacing w:val="-12"/>
              </w:rPr>
              <w:t>NCRF 23 – Os efeitos das alterações em taxas de câmbio - exemplos e comentários</w:t>
            </w:r>
            <w:r>
              <w:rPr>
                <w:noProof/>
                <w:webHidden/>
              </w:rPr>
              <w:tab/>
            </w:r>
            <w:r>
              <w:rPr>
                <w:noProof/>
                <w:webHidden/>
              </w:rPr>
              <w:fldChar w:fldCharType="begin"/>
            </w:r>
            <w:r>
              <w:rPr>
                <w:noProof/>
                <w:webHidden/>
              </w:rPr>
              <w:instrText xml:space="preserve"> PAGEREF _Toc290996399 \h </w:instrText>
            </w:r>
            <w:r>
              <w:rPr>
                <w:noProof/>
                <w:webHidden/>
              </w:rPr>
            </w:r>
            <w:r>
              <w:rPr>
                <w:noProof/>
                <w:webHidden/>
              </w:rPr>
              <w:fldChar w:fldCharType="separate"/>
            </w:r>
            <w:r>
              <w:rPr>
                <w:noProof/>
                <w:webHidden/>
              </w:rPr>
              <w:t>66</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400" w:history="1">
            <w:r w:rsidRPr="0029455E">
              <w:rPr>
                <w:rStyle w:val="Hiperligao"/>
                <w:rFonts w:ascii="Georgia" w:hAnsi="Georgia" w:cs="Arial"/>
                <w:noProof/>
                <w:spacing w:val="-12"/>
              </w:rPr>
              <w:t>NCRF 24 – Acontecimentos após a data do balanço - exemplos e comentários</w:t>
            </w:r>
            <w:r>
              <w:rPr>
                <w:noProof/>
                <w:webHidden/>
              </w:rPr>
              <w:tab/>
            </w:r>
            <w:r>
              <w:rPr>
                <w:noProof/>
                <w:webHidden/>
              </w:rPr>
              <w:fldChar w:fldCharType="begin"/>
            </w:r>
            <w:r>
              <w:rPr>
                <w:noProof/>
                <w:webHidden/>
              </w:rPr>
              <w:instrText xml:space="preserve"> PAGEREF _Toc290996400 \h </w:instrText>
            </w:r>
            <w:r>
              <w:rPr>
                <w:noProof/>
                <w:webHidden/>
              </w:rPr>
            </w:r>
            <w:r>
              <w:rPr>
                <w:noProof/>
                <w:webHidden/>
              </w:rPr>
              <w:fldChar w:fldCharType="separate"/>
            </w:r>
            <w:r>
              <w:rPr>
                <w:noProof/>
                <w:webHidden/>
              </w:rPr>
              <w:t>68</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401" w:history="1">
            <w:r w:rsidRPr="0029455E">
              <w:rPr>
                <w:rStyle w:val="Hiperligao"/>
                <w:rFonts w:ascii="Georgia" w:hAnsi="Georgia" w:cs="Arial"/>
                <w:noProof/>
                <w:spacing w:val="-12"/>
              </w:rPr>
              <w:t>NCRF 25 – Impostos sobre o rendimento - exemplos e comentários</w:t>
            </w:r>
            <w:r>
              <w:rPr>
                <w:noProof/>
                <w:webHidden/>
              </w:rPr>
              <w:tab/>
            </w:r>
            <w:r>
              <w:rPr>
                <w:noProof/>
                <w:webHidden/>
              </w:rPr>
              <w:fldChar w:fldCharType="begin"/>
            </w:r>
            <w:r>
              <w:rPr>
                <w:noProof/>
                <w:webHidden/>
              </w:rPr>
              <w:instrText xml:space="preserve"> PAGEREF _Toc290996401 \h </w:instrText>
            </w:r>
            <w:r>
              <w:rPr>
                <w:noProof/>
                <w:webHidden/>
              </w:rPr>
            </w:r>
            <w:r>
              <w:rPr>
                <w:noProof/>
                <w:webHidden/>
              </w:rPr>
              <w:fldChar w:fldCharType="separate"/>
            </w:r>
            <w:r>
              <w:rPr>
                <w:noProof/>
                <w:webHidden/>
              </w:rPr>
              <w:t>69</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402" w:history="1">
            <w:r w:rsidRPr="0029455E">
              <w:rPr>
                <w:rStyle w:val="Hiperligao"/>
                <w:rFonts w:ascii="Georgia" w:hAnsi="Georgia" w:cs="Arial"/>
                <w:noProof/>
                <w:spacing w:val="-12"/>
              </w:rPr>
              <w:t>NCRF 26 – Matérias ambientais - exemplos e comentários</w:t>
            </w:r>
            <w:r>
              <w:rPr>
                <w:noProof/>
                <w:webHidden/>
              </w:rPr>
              <w:tab/>
            </w:r>
            <w:r>
              <w:rPr>
                <w:noProof/>
                <w:webHidden/>
              </w:rPr>
              <w:fldChar w:fldCharType="begin"/>
            </w:r>
            <w:r>
              <w:rPr>
                <w:noProof/>
                <w:webHidden/>
              </w:rPr>
              <w:instrText xml:space="preserve"> PAGEREF _Toc290996402 \h </w:instrText>
            </w:r>
            <w:r>
              <w:rPr>
                <w:noProof/>
                <w:webHidden/>
              </w:rPr>
            </w:r>
            <w:r>
              <w:rPr>
                <w:noProof/>
                <w:webHidden/>
              </w:rPr>
              <w:fldChar w:fldCharType="separate"/>
            </w:r>
            <w:r>
              <w:rPr>
                <w:noProof/>
                <w:webHidden/>
              </w:rPr>
              <w:t>71</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403" w:history="1">
            <w:r w:rsidRPr="0029455E">
              <w:rPr>
                <w:rStyle w:val="Hiperligao"/>
                <w:rFonts w:ascii="Georgia" w:eastAsia="Times New Roman" w:hAnsi="Georgia" w:cs="Arial"/>
                <w:noProof/>
                <w:spacing w:val="-12"/>
                <w:lang w:eastAsia="pt-PT"/>
              </w:rPr>
              <w:t>NCRF 27 – Instrumentos financeiros - exemplos e comentários</w:t>
            </w:r>
            <w:r>
              <w:rPr>
                <w:noProof/>
                <w:webHidden/>
              </w:rPr>
              <w:tab/>
            </w:r>
            <w:r>
              <w:rPr>
                <w:noProof/>
                <w:webHidden/>
              </w:rPr>
              <w:fldChar w:fldCharType="begin"/>
            </w:r>
            <w:r>
              <w:rPr>
                <w:noProof/>
                <w:webHidden/>
              </w:rPr>
              <w:instrText xml:space="preserve"> PAGEREF _Toc290996403 \h </w:instrText>
            </w:r>
            <w:r>
              <w:rPr>
                <w:noProof/>
                <w:webHidden/>
              </w:rPr>
            </w:r>
            <w:r>
              <w:rPr>
                <w:noProof/>
                <w:webHidden/>
              </w:rPr>
              <w:fldChar w:fldCharType="separate"/>
            </w:r>
            <w:r>
              <w:rPr>
                <w:noProof/>
                <w:webHidden/>
              </w:rPr>
              <w:t>73</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404" w:history="1">
            <w:r w:rsidRPr="0029455E">
              <w:rPr>
                <w:rStyle w:val="Hiperligao"/>
                <w:rFonts w:ascii="Georgia" w:hAnsi="Georgia" w:cs="Arial"/>
                <w:noProof/>
                <w:spacing w:val="-12"/>
              </w:rPr>
              <w:t>NCRF 28 – Benefícios dos empregados - exemplos e comentários</w:t>
            </w:r>
            <w:r>
              <w:rPr>
                <w:noProof/>
                <w:webHidden/>
              </w:rPr>
              <w:tab/>
            </w:r>
            <w:r>
              <w:rPr>
                <w:noProof/>
                <w:webHidden/>
              </w:rPr>
              <w:fldChar w:fldCharType="begin"/>
            </w:r>
            <w:r>
              <w:rPr>
                <w:noProof/>
                <w:webHidden/>
              </w:rPr>
              <w:instrText xml:space="preserve"> PAGEREF _Toc290996404 \h </w:instrText>
            </w:r>
            <w:r>
              <w:rPr>
                <w:noProof/>
                <w:webHidden/>
              </w:rPr>
            </w:r>
            <w:r>
              <w:rPr>
                <w:noProof/>
                <w:webHidden/>
              </w:rPr>
              <w:fldChar w:fldCharType="separate"/>
            </w:r>
            <w:r>
              <w:rPr>
                <w:noProof/>
                <w:webHidden/>
              </w:rPr>
              <w:t>75</w:t>
            </w:r>
            <w:r>
              <w:rPr>
                <w:noProof/>
                <w:webHidden/>
              </w:rPr>
              <w:fldChar w:fldCharType="end"/>
            </w:r>
          </w:hyperlink>
        </w:p>
        <w:p w:rsidR="00256C2D" w:rsidRDefault="00256C2D">
          <w:pPr>
            <w:pStyle w:val="ndice3"/>
            <w:tabs>
              <w:tab w:val="right" w:leader="dot" w:pos="8494"/>
            </w:tabs>
            <w:rPr>
              <w:rFonts w:asciiTheme="minorHAnsi" w:eastAsiaTheme="minorEastAsia" w:hAnsiTheme="minorHAnsi" w:cstheme="minorBidi"/>
              <w:noProof/>
              <w:sz w:val="22"/>
              <w:szCs w:val="22"/>
              <w:lang w:eastAsia="pt-PT"/>
            </w:rPr>
          </w:pPr>
          <w:hyperlink w:anchor="_Toc290996405" w:history="1">
            <w:r w:rsidRPr="0029455E">
              <w:rPr>
                <w:rStyle w:val="Hiperligao"/>
                <w:rFonts w:ascii="Georgia" w:hAnsi="Georgia" w:cs="Arial"/>
                <w:noProof/>
                <w:spacing w:val="-12"/>
              </w:rPr>
              <w:t>Sistema contabilístico para pequenas entidades</w:t>
            </w:r>
            <w:r>
              <w:rPr>
                <w:noProof/>
                <w:webHidden/>
              </w:rPr>
              <w:tab/>
            </w:r>
            <w:r>
              <w:rPr>
                <w:noProof/>
                <w:webHidden/>
              </w:rPr>
              <w:fldChar w:fldCharType="begin"/>
            </w:r>
            <w:r>
              <w:rPr>
                <w:noProof/>
                <w:webHidden/>
              </w:rPr>
              <w:instrText xml:space="preserve"> PAGEREF _Toc290996405 \h </w:instrText>
            </w:r>
            <w:r>
              <w:rPr>
                <w:noProof/>
                <w:webHidden/>
              </w:rPr>
            </w:r>
            <w:r>
              <w:rPr>
                <w:noProof/>
                <w:webHidden/>
              </w:rPr>
              <w:fldChar w:fldCharType="separate"/>
            </w:r>
            <w:r>
              <w:rPr>
                <w:noProof/>
                <w:webHidden/>
              </w:rPr>
              <w:t>77</w:t>
            </w:r>
            <w:r>
              <w:rPr>
                <w:noProof/>
                <w:webHidden/>
              </w:rPr>
              <w:fldChar w:fldCharType="end"/>
            </w:r>
          </w:hyperlink>
        </w:p>
        <w:p w:rsidR="00256C2D" w:rsidRDefault="00256C2D">
          <w:r>
            <w:fldChar w:fldCharType="end"/>
          </w:r>
        </w:p>
      </w:sdtContent>
    </w:sdt>
    <w:p w:rsidR="00256C2D" w:rsidRDefault="00256C2D" w:rsidP="0028710B">
      <w:pPr>
        <w:spacing w:before="115" w:line="264" w:lineRule="auto"/>
        <w:outlineLvl w:val="2"/>
        <w:rPr>
          <w:rFonts w:ascii="Georgia" w:eastAsia="Times New Roman" w:hAnsi="Georgia" w:cs="Arial"/>
          <w:color w:val="FF0000"/>
          <w:spacing w:val="-12"/>
          <w:sz w:val="42"/>
          <w:szCs w:val="42"/>
          <w:lang w:eastAsia="pt-PT"/>
        </w:rPr>
      </w:pPr>
    </w:p>
    <w:p w:rsidR="00256C2D" w:rsidRDefault="00256C2D" w:rsidP="0028710B">
      <w:pPr>
        <w:spacing w:before="115" w:line="264" w:lineRule="auto"/>
        <w:outlineLvl w:val="2"/>
        <w:rPr>
          <w:rFonts w:ascii="Georgia" w:eastAsia="Times New Roman" w:hAnsi="Georgia" w:cs="Arial"/>
          <w:color w:val="FF0000"/>
          <w:spacing w:val="-12"/>
          <w:sz w:val="42"/>
          <w:szCs w:val="42"/>
          <w:lang w:eastAsia="pt-PT"/>
        </w:rPr>
      </w:pPr>
    </w:p>
    <w:p w:rsidR="00256C2D" w:rsidRDefault="00256C2D" w:rsidP="0028710B">
      <w:pPr>
        <w:spacing w:before="115" w:line="264" w:lineRule="auto"/>
        <w:outlineLvl w:val="2"/>
        <w:rPr>
          <w:rFonts w:ascii="Georgia" w:eastAsia="Times New Roman" w:hAnsi="Georgia" w:cs="Arial"/>
          <w:color w:val="FF0000"/>
          <w:spacing w:val="-12"/>
          <w:sz w:val="42"/>
          <w:szCs w:val="42"/>
          <w:lang w:eastAsia="pt-PT"/>
        </w:rPr>
      </w:pPr>
    </w:p>
    <w:p w:rsidR="005F39C8" w:rsidRDefault="005F39C8" w:rsidP="0028710B">
      <w:pPr>
        <w:spacing w:before="115" w:line="264" w:lineRule="auto"/>
        <w:outlineLvl w:val="2"/>
        <w:rPr>
          <w:rFonts w:ascii="Georgia" w:eastAsia="Times New Roman" w:hAnsi="Georgia" w:cs="Arial"/>
          <w:color w:val="FF0000"/>
          <w:spacing w:val="-12"/>
          <w:sz w:val="42"/>
          <w:szCs w:val="42"/>
          <w:lang w:eastAsia="pt-PT"/>
        </w:rPr>
      </w:pPr>
    </w:p>
    <w:p w:rsidR="0028710B" w:rsidRPr="0028710B" w:rsidRDefault="0028710B" w:rsidP="0028710B">
      <w:pPr>
        <w:spacing w:before="115" w:line="264" w:lineRule="auto"/>
        <w:outlineLvl w:val="2"/>
        <w:rPr>
          <w:rFonts w:ascii="Georgia" w:eastAsia="Times New Roman" w:hAnsi="Georgia" w:cs="Arial"/>
          <w:color w:val="FF0000"/>
          <w:spacing w:val="-12"/>
          <w:sz w:val="42"/>
          <w:szCs w:val="42"/>
          <w:lang w:eastAsia="pt-PT"/>
        </w:rPr>
      </w:pPr>
      <w:bookmarkStart w:id="0" w:name="_Toc290996375"/>
      <w:r w:rsidRPr="0028710B">
        <w:rPr>
          <w:rFonts w:ascii="Georgia" w:eastAsia="Times New Roman" w:hAnsi="Georgia" w:cs="Arial"/>
          <w:color w:val="FF0000"/>
          <w:spacing w:val="-12"/>
          <w:sz w:val="42"/>
          <w:szCs w:val="42"/>
          <w:lang w:eastAsia="pt-PT"/>
        </w:rPr>
        <w:lastRenderedPageBreak/>
        <w:t>Para que serve a contabilidade?</w:t>
      </w:r>
      <w:bookmarkEnd w:id="0"/>
      <w:r w:rsidRPr="0028710B">
        <w:rPr>
          <w:rFonts w:ascii="Georgia" w:eastAsia="Times New Roman" w:hAnsi="Georgia" w:cs="Arial"/>
          <w:color w:val="FF0000"/>
          <w:spacing w:val="-12"/>
          <w:sz w:val="42"/>
          <w:szCs w:val="42"/>
          <w:lang w:eastAsia="pt-PT"/>
        </w:rPr>
        <w:t xml:space="preserve"> </w:t>
      </w:r>
    </w:p>
    <w:p w:rsidR="0028710B" w:rsidRPr="0028710B" w:rsidRDefault="0028710B" w:rsidP="0028710B">
      <w:pPr>
        <w:spacing w:before="58" w:after="115" w:line="276" w:lineRule="atLeast"/>
        <w:jc w:val="both"/>
        <w:rPr>
          <w:rFonts w:ascii="Arial" w:eastAsia="Times New Roman" w:hAnsi="Arial" w:cs="Arial"/>
          <w:b/>
          <w:bCs/>
          <w:color w:val="444444"/>
          <w:sz w:val="21"/>
          <w:szCs w:val="21"/>
          <w:lang w:eastAsia="pt-PT"/>
        </w:rPr>
      </w:pPr>
      <w:r w:rsidRPr="0028710B">
        <w:rPr>
          <w:rFonts w:ascii="Arial" w:eastAsia="Times New Roman" w:hAnsi="Arial" w:cs="Arial"/>
          <w:b/>
          <w:bCs/>
          <w:color w:val="444444"/>
          <w:sz w:val="21"/>
          <w:szCs w:val="21"/>
          <w:lang w:eastAsia="pt-PT"/>
        </w:rPr>
        <w:t>Antes de explorarmos esta questão será importante, senão essencial, definir o que é a contabilidade.</w:t>
      </w:r>
    </w:p>
    <w:p w:rsidR="0028710B" w:rsidRPr="0028710B" w:rsidRDefault="0028710B" w:rsidP="0028710B">
      <w:pPr>
        <w:spacing w:before="58" w:after="115" w:line="276" w:lineRule="atLeast"/>
        <w:jc w:val="both"/>
        <w:rPr>
          <w:rFonts w:ascii="Arial" w:eastAsia="Times New Roman" w:hAnsi="Arial" w:cs="Arial"/>
          <w:b/>
          <w:bCs/>
          <w:color w:val="444444"/>
          <w:sz w:val="21"/>
          <w:szCs w:val="21"/>
          <w:lang w:eastAsia="pt-PT"/>
        </w:rPr>
      </w:pPr>
      <w:r w:rsidRPr="0028710B">
        <w:rPr>
          <w:rFonts w:ascii="Arial" w:eastAsia="Times New Roman" w:hAnsi="Arial" w:cs="Arial"/>
          <w:b/>
          <w:bCs/>
          <w:color w:val="444444"/>
          <w:sz w:val="21"/>
          <w:szCs w:val="21"/>
          <w:lang w:eastAsia="pt-PT"/>
        </w:rPr>
        <w:t>" Contabilidade é a técnica do cálculo e do registo das operações comerciais ou financeiras realizadas por uma pessoa, sociedade, empresa ou repartição do Estado"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Dicionário Porto Editora</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As funções da contabilidade são quatro:</w:t>
      </w:r>
    </w:p>
    <w:p w:rsidR="0028710B" w:rsidRPr="0028710B" w:rsidRDefault="0028710B" w:rsidP="0028710B">
      <w:pPr>
        <w:numPr>
          <w:ilvl w:val="0"/>
          <w:numId w:val="92"/>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Função de registo </w:t>
      </w:r>
    </w:p>
    <w:p w:rsidR="0028710B" w:rsidRPr="0028710B" w:rsidRDefault="0028710B" w:rsidP="0028710B">
      <w:pPr>
        <w:numPr>
          <w:ilvl w:val="0"/>
          <w:numId w:val="92"/>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Função de controlo </w:t>
      </w:r>
    </w:p>
    <w:p w:rsidR="0028710B" w:rsidRPr="0028710B" w:rsidRDefault="0028710B" w:rsidP="0028710B">
      <w:pPr>
        <w:numPr>
          <w:ilvl w:val="0"/>
          <w:numId w:val="92"/>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Função de avaliação </w:t>
      </w:r>
    </w:p>
    <w:p w:rsidR="0028710B" w:rsidRPr="0028710B" w:rsidRDefault="0028710B" w:rsidP="0028710B">
      <w:pPr>
        <w:numPr>
          <w:ilvl w:val="0"/>
          <w:numId w:val="92"/>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Função de previsão </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A contabilidade tem como finalidade fornecer informações relevantes sobre o património (composição e variações) de uma determinada pessoa ou entidade. Essas informações são seu interesse, pois permite-lhe obter um conhecimento realista da sua situação económica e financeira e tomar decisões com base em dados objectivos.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Por vezes os gestores tomam decisões erradas porque não possuem um conhecimento realista e objectivo da situação patrimonial da empresa. Por exemplo, os gestores têm de saber qual é a sua estrutura de custos, o valor das margens dos produtos que a empresa comercializa, o impacto nos resultados de um aumento ou descida dos preços, etc. Sem informação precisa, as decisões de gestão falham.</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No entanto, a informação produzida pela contabilidade não é relevante apenas internamente. Uma empresa não existe isoladamente, está inserida num determinado sector e estabelece relações a vários níveis com outros agentes económicos (clientes, fornecedores, bancos, Estado, etc.</w:t>
      </w:r>
      <w:proofErr w:type="gramStart"/>
      <w:r w:rsidRPr="0028710B">
        <w:rPr>
          <w:rFonts w:ascii="Arial" w:eastAsia="Times New Roman" w:hAnsi="Arial" w:cs="Arial"/>
          <w:sz w:val="24"/>
          <w:szCs w:val="24"/>
          <w:lang w:eastAsia="pt-PT"/>
        </w:rPr>
        <w:t>).</w:t>
      </w:r>
      <w:proofErr w:type="gramEnd"/>
      <w:r w:rsidRPr="0028710B">
        <w:rPr>
          <w:rFonts w:ascii="Arial" w:eastAsia="Times New Roman" w:hAnsi="Arial" w:cs="Arial"/>
          <w:sz w:val="24"/>
          <w:szCs w:val="24"/>
          <w:lang w:eastAsia="pt-PT"/>
        </w:rPr>
        <w:t> Também a essas entidades exteriores a contabilidade da empresa é essencial pois permite-lhes saber se a empresa tem condições de cumprir as suas obrigações, sejam elas de fornecer os seus serviços ou produtos a tempo e na melhor qualidade, seja pagar as suas dívidas, cumprir com as suas obrigações fiscais, entre outras informações relevantes.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Internamente a contabilidade deverá ser capaz de responder a um vasto leque de questões fundamentais para a tomada de decisões, tais como:</w:t>
      </w:r>
    </w:p>
    <w:p w:rsidR="0028710B" w:rsidRPr="0028710B" w:rsidRDefault="0028710B" w:rsidP="0028710B">
      <w:pPr>
        <w:numPr>
          <w:ilvl w:val="0"/>
          <w:numId w:val="93"/>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Qual é o produto mais rentável? </w:t>
      </w:r>
    </w:p>
    <w:p w:rsidR="0028710B" w:rsidRPr="0028710B" w:rsidRDefault="0028710B" w:rsidP="0028710B">
      <w:pPr>
        <w:numPr>
          <w:ilvl w:val="0"/>
          <w:numId w:val="93"/>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Quanto custa produzir um bem ou serviço? </w:t>
      </w:r>
    </w:p>
    <w:p w:rsidR="0028710B" w:rsidRPr="0028710B" w:rsidRDefault="0028710B" w:rsidP="0028710B">
      <w:pPr>
        <w:numPr>
          <w:ilvl w:val="0"/>
          <w:numId w:val="93"/>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Como podemos projectar os resultados de acordo com os vários cenários que se nos </w:t>
      </w:r>
      <w:proofErr w:type="gramStart"/>
      <w:r w:rsidRPr="0028710B">
        <w:rPr>
          <w:rFonts w:ascii="Arial" w:eastAsia="Times New Roman" w:hAnsi="Arial" w:cs="Arial"/>
          <w:sz w:val="24"/>
          <w:szCs w:val="24"/>
          <w:lang w:eastAsia="pt-PT"/>
        </w:rPr>
        <w:t>apresentam (por</w:t>
      </w:r>
      <w:proofErr w:type="gramEnd"/>
      <w:r w:rsidRPr="0028710B">
        <w:rPr>
          <w:rFonts w:ascii="Arial" w:eastAsia="Times New Roman" w:hAnsi="Arial" w:cs="Arial"/>
          <w:sz w:val="24"/>
          <w:szCs w:val="24"/>
          <w:lang w:eastAsia="pt-PT"/>
        </w:rPr>
        <w:t xml:space="preserve"> exemplo qual é o nível de produção e venda que nos permite obter determinado resultado)? </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Ao longo do tempo de vida de uma empresa a contabilidade permite-nos estabelecer padrões, saber quais as variáveis com mais impacto no resultado, saber quais os aspectos que requerem mais atenção. Podemos inclusivamente </w:t>
      </w:r>
      <w:r w:rsidRPr="0028710B">
        <w:rPr>
          <w:rFonts w:ascii="Arial" w:eastAsia="Times New Roman" w:hAnsi="Arial" w:cs="Arial"/>
          <w:sz w:val="24"/>
          <w:szCs w:val="24"/>
          <w:lang w:eastAsia="pt-PT"/>
        </w:rPr>
        <w:lastRenderedPageBreak/>
        <w:t>dizer que a contabilidade é o livro de uma empresa onde tudo fica registado e a sua leitura permite tirar conclusões úteis, que se bem geridas garantem a sua continuidade.</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Na área da contabilidade é frequente ouvir nomes de vários intervenientes e executantes:</w:t>
      </w:r>
    </w:p>
    <w:p w:rsidR="0028710B" w:rsidRPr="0028710B" w:rsidRDefault="0028710B" w:rsidP="0028710B">
      <w:pPr>
        <w:numPr>
          <w:ilvl w:val="0"/>
          <w:numId w:val="94"/>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Guarda-livros: Indivíduo encarregue de fazer a contabilidade, principalmente o registo, dos factos patrimonialmente relevantes. Actualmente corresponde ao técnico de contabilidade ou administrativo; </w:t>
      </w:r>
    </w:p>
    <w:p w:rsidR="0028710B" w:rsidRPr="0028710B" w:rsidRDefault="0028710B" w:rsidP="0028710B">
      <w:pPr>
        <w:numPr>
          <w:ilvl w:val="0"/>
          <w:numId w:val="94"/>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Contabilista: O perito em contabilidade, normalmente uma pessoa que adquiriu conhecimento contabilístico através da experiência; </w:t>
      </w:r>
    </w:p>
    <w:p w:rsidR="0028710B" w:rsidRPr="0028710B" w:rsidRDefault="0028710B" w:rsidP="0028710B">
      <w:pPr>
        <w:numPr>
          <w:ilvl w:val="0"/>
          <w:numId w:val="94"/>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Técnico Oficial de Contas (TOC): "é um profissional responsável pela planificação e organização da contabilidade que possui uma responsabilidade técnica, contabilística e </w:t>
      </w:r>
      <w:proofErr w:type="gramStart"/>
      <w:r w:rsidRPr="0028710B">
        <w:rPr>
          <w:rFonts w:ascii="Arial" w:eastAsia="Times New Roman" w:hAnsi="Arial" w:cs="Arial"/>
          <w:sz w:val="24"/>
          <w:szCs w:val="24"/>
          <w:lang w:eastAsia="pt-PT"/>
        </w:rPr>
        <w:t>fiscal.</w:t>
      </w:r>
      <w:proofErr w:type="gramEnd"/>
      <w:r w:rsidRPr="0028710B">
        <w:rPr>
          <w:rFonts w:ascii="Arial" w:eastAsia="Times New Roman" w:hAnsi="Arial" w:cs="Arial"/>
          <w:sz w:val="24"/>
          <w:szCs w:val="24"/>
          <w:lang w:eastAsia="pt-PT"/>
        </w:rPr>
        <w:t> A profissão de TOC está regulada por lei e inserida numa Ordem que rege os princípios orientadores da sua execução. O TOC serve de ligação entre as instituições privadas e o aparelho fiscal." (</w:t>
      </w:r>
      <w:proofErr w:type="spellStart"/>
      <w:r w:rsidRPr="0028710B">
        <w:rPr>
          <w:rFonts w:ascii="Arial" w:eastAsia="Times New Roman" w:hAnsi="Arial" w:cs="Arial"/>
          <w:sz w:val="24"/>
          <w:szCs w:val="24"/>
          <w:lang w:eastAsia="pt-PT"/>
        </w:rPr>
        <w:t>Newgest</w:t>
      </w:r>
      <w:proofErr w:type="spellEnd"/>
      <w:r w:rsidRPr="0028710B">
        <w:rPr>
          <w:rFonts w:ascii="Arial" w:eastAsia="Times New Roman" w:hAnsi="Arial" w:cs="Arial"/>
          <w:sz w:val="24"/>
          <w:szCs w:val="24"/>
          <w:lang w:eastAsia="pt-PT"/>
        </w:rPr>
        <w:t xml:space="preserve">) </w:t>
      </w:r>
    </w:p>
    <w:p w:rsidR="0028710B" w:rsidRPr="0028710B" w:rsidRDefault="0028710B" w:rsidP="0028710B">
      <w:pPr>
        <w:numPr>
          <w:ilvl w:val="0"/>
          <w:numId w:val="94"/>
        </w:numPr>
        <w:spacing w:before="100" w:beforeAutospacing="1" w:after="100" w:afterAutospacing="1" w:line="240" w:lineRule="auto"/>
        <w:ind w:left="489"/>
        <w:jc w:val="both"/>
        <w:rPr>
          <w:rFonts w:ascii="Arial" w:eastAsia="Times New Roman" w:hAnsi="Arial" w:cs="Arial"/>
          <w:sz w:val="24"/>
          <w:szCs w:val="24"/>
          <w:lang w:eastAsia="pt-PT"/>
        </w:rPr>
      </w:pPr>
      <w:proofErr w:type="spellStart"/>
      <w:r w:rsidRPr="0028710B">
        <w:rPr>
          <w:rFonts w:ascii="Arial" w:eastAsia="Times New Roman" w:hAnsi="Arial" w:cs="Arial"/>
          <w:sz w:val="24"/>
          <w:szCs w:val="24"/>
          <w:lang w:eastAsia="pt-PT"/>
        </w:rPr>
        <w:t>Controller</w:t>
      </w:r>
      <w:proofErr w:type="spellEnd"/>
      <w:r w:rsidRPr="0028710B">
        <w:rPr>
          <w:rFonts w:ascii="Arial" w:eastAsia="Times New Roman" w:hAnsi="Arial" w:cs="Arial"/>
          <w:sz w:val="24"/>
          <w:szCs w:val="24"/>
          <w:lang w:eastAsia="pt-PT"/>
        </w:rPr>
        <w:t xml:space="preserve">: É o responsável pelo planeamento e controlo de gestão. Tem como missão medir e analisar o desempenho de uma organização no que à consecução dos seus objectivos estratégicos diz respeito. O </w:t>
      </w:r>
      <w:proofErr w:type="spellStart"/>
      <w:r w:rsidRPr="0028710B">
        <w:rPr>
          <w:rFonts w:ascii="Arial" w:eastAsia="Times New Roman" w:hAnsi="Arial" w:cs="Arial"/>
          <w:sz w:val="24"/>
          <w:szCs w:val="24"/>
          <w:lang w:eastAsia="pt-PT"/>
        </w:rPr>
        <w:t>controller</w:t>
      </w:r>
      <w:proofErr w:type="spellEnd"/>
      <w:r w:rsidRPr="0028710B">
        <w:rPr>
          <w:rFonts w:ascii="Arial" w:eastAsia="Times New Roman" w:hAnsi="Arial" w:cs="Arial"/>
          <w:sz w:val="24"/>
          <w:szCs w:val="24"/>
          <w:lang w:eastAsia="pt-PT"/>
        </w:rPr>
        <w:t xml:space="preserve"> é também responsável pela introdução de medidas correctivas e pela protecção dos activos da organização; </w:t>
      </w:r>
    </w:p>
    <w:p w:rsidR="0028710B" w:rsidRPr="0028710B" w:rsidRDefault="0028710B" w:rsidP="0028710B">
      <w:pPr>
        <w:numPr>
          <w:ilvl w:val="0"/>
          <w:numId w:val="94"/>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Director Financeiro: É o responsável por toda a função financeira. Tem como missão assegurar o financiamento da actividade da empresa, optimizar a afectação de recursos financeiros, supervisionar a contabilidade e assegurar o controlo interno. </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Os dois primeiros profissionais desta lista são os que trabalham a contabilidade, executam os registos, fazem os apuramentos, elaboram os mapas, etc. Os dois últimos usam o trabalho dos primeiros para a interpretação da informação produzida pela contabilidade e à tomada de decisões.</w:t>
      </w:r>
    </w:p>
    <w:p w:rsidR="0028710B" w:rsidRDefault="0028710B" w:rsidP="0028710B">
      <w:pPr>
        <w:spacing w:before="58"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Em suma, a contabilidade é um sistema de informação de gestão que serve a própria entidade e os </w:t>
      </w:r>
      <w:proofErr w:type="spellStart"/>
      <w:r w:rsidRPr="0028710B">
        <w:rPr>
          <w:rFonts w:ascii="Arial" w:eastAsia="Times New Roman" w:hAnsi="Arial" w:cs="Arial"/>
          <w:sz w:val="24"/>
          <w:szCs w:val="24"/>
          <w:lang w:eastAsia="pt-PT"/>
        </w:rPr>
        <w:t>stakeholders</w:t>
      </w:r>
      <w:proofErr w:type="spellEnd"/>
      <w:r w:rsidRPr="0028710B">
        <w:rPr>
          <w:rFonts w:ascii="Arial" w:eastAsia="Times New Roman" w:hAnsi="Arial" w:cs="Arial"/>
          <w:sz w:val="24"/>
          <w:szCs w:val="24"/>
          <w:lang w:eastAsia="pt-PT"/>
        </w:rPr>
        <w:t xml:space="preserve"> que com ela se relacionam. Longe de ser uma mera obrigação legal das sociedades, a contabilidade tem hoje um papel muito importante na tomada de decisão de gestão.</w:t>
      </w:r>
    </w:p>
    <w:p w:rsidR="005F39C8" w:rsidRPr="0028710B" w:rsidRDefault="005F39C8" w:rsidP="0028710B">
      <w:pPr>
        <w:spacing w:before="58" w:line="240" w:lineRule="auto"/>
        <w:jc w:val="both"/>
        <w:rPr>
          <w:rFonts w:ascii="Arial" w:eastAsia="Times New Roman" w:hAnsi="Arial" w:cs="Arial"/>
          <w:sz w:val="24"/>
          <w:szCs w:val="24"/>
          <w:lang w:eastAsia="pt-PT"/>
        </w:rPr>
      </w:pPr>
    </w:p>
    <w:p w:rsidR="00C9410B" w:rsidRPr="00C9410B" w:rsidRDefault="00C9410B" w:rsidP="00C9410B">
      <w:pPr>
        <w:spacing w:before="115" w:line="264" w:lineRule="auto"/>
        <w:outlineLvl w:val="2"/>
        <w:rPr>
          <w:rFonts w:ascii="Georgia" w:eastAsia="Times New Roman" w:hAnsi="Georgia" w:cs="Arial"/>
          <w:color w:val="FF0000"/>
          <w:spacing w:val="-12"/>
          <w:sz w:val="40"/>
          <w:szCs w:val="42"/>
          <w:lang w:eastAsia="pt-PT"/>
        </w:rPr>
      </w:pPr>
      <w:bookmarkStart w:id="1" w:name="_Toc290996376"/>
      <w:r w:rsidRPr="00C9410B">
        <w:rPr>
          <w:rFonts w:ascii="Georgia" w:eastAsia="Times New Roman" w:hAnsi="Georgia" w:cs="Arial"/>
          <w:color w:val="FF0000"/>
          <w:spacing w:val="-12"/>
          <w:sz w:val="40"/>
          <w:szCs w:val="42"/>
          <w:lang w:eastAsia="pt-PT"/>
        </w:rPr>
        <w:t>Porque precisamos de um novo Sistema de Normalização Contabilística?</w:t>
      </w:r>
      <w:bookmarkEnd w:id="1"/>
      <w:r w:rsidRPr="00C9410B">
        <w:rPr>
          <w:rFonts w:ascii="Georgia" w:eastAsia="Times New Roman" w:hAnsi="Georgia" w:cs="Arial"/>
          <w:color w:val="FF0000"/>
          <w:spacing w:val="-12"/>
          <w:sz w:val="40"/>
          <w:szCs w:val="42"/>
          <w:lang w:eastAsia="pt-PT"/>
        </w:rPr>
        <w:t xml:space="preserve"> </w:t>
      </w:r>
    </w:p>
    <w:p w:rsidR="00C9410B" w:rsidRPr="00C9410B" w:rsidRDefault="00C9410B" w:rsidP="00C9410B">
      <w:pPr>
        <w:spacing w:after="0" w:line="276" w:lineRule="atLeast"/>
        <w:jc w:val="both"/>
        <w:rPr>
          <w:rFonts w:ascii="Arial" w:eastAsia="Times New Roman" w:hAnsi="Arial" w:cs="Arial"/>
          <w:b/>
          <w:bCs/>
          <w:color w:val="444444"/>
          <w:sz w:val="21"/>
          <w:szCs w:val="21"/>
          <w:lang w:eastAsia="pt-PT"/>
        </w:rPr>
      </w:pPr>
      <w:r w:rsidRPr="00C9410B">
        <w:rPr>
          <w:rFonts w:ascii="Arial" w:eastAsia="Times New Roman" w:hAnsi="Arial" w:cs="Arial"/>
          <w:b/>
          <w:bCs/>
          <w:color w:val="444444"/>
          <w:sz w:val="21"/>
          <w:szCs w:val="21"/>
          <w:lang w:eastAsia="pt-PT"/>
        </w:rPr>
        <w:t>A contabilidade, enquanto sistema de informação das unidades económicas, está vinculada ao seu meio envolvente, reflectindo um conjunto de valores, sistemas políticos, económicos e jurídicos, com os quais está enquadrada.</w:t>
      </w:r>
    </w:p>
    <w:p w:rsidR="00C9410B" w:rsidRPr="00C9410B" w:rsidRDefault="00C9410B" w:rsidP="00C9410B">
      <w:pPr>
        <w:spacing w:after="0" w:line="276" w:lineRule="atLeast"/>
        <w:jc w:val="both"/>
        <w:rPr>
          <w:rFonts w:ascii="Arial" w:eastAsia="Times New Roman" w:hAnsi="Arial" w:cs="Arial"/>
          <w:b/>
          <w:bCs/>
          <w:color w:val="444444"/>
          <w:sz w:val="21"/>
          <w:szCs w:val="21"/>
          <w:lang w:eastAsia="pt-PT"/>
        </w:rPr>
      </w:pPr>
      <w:r w:rsidRPr="00C9410B">
        <w:rPr>
          <w:rFonts w:ascii="Arial" w:eastAsia="Times New Roman" w:hAnsi="Arial" w:cs="Arial"/>
          <w:b/>
          <w:bCs/>
          <w:color w:val="444444"/>
          <w:sz w:val="21"/>
          <w:szCs w:val="21"/>
          <w:lang w:eastAsia="pt-PT"/>
        </w:rPr>
        <w:br/>
        <w:t>Os diferentes países da Europa têm associada uma história singular influenciada por essa envolvente, o que se reflecte na singularidade do desenvolvimento dos seus sistemas contabilísticos.</w:t>
      </w:r>
    </w:p>
    <w:p w:rsidR="00C9410B" w:rsidRPr="00C9410B" w:rsidRDefault="00C9410B" w:rsidP="00C9410B">
      <w:pPr>
        <w:spacing w:after="0"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lastRenderedPageBreak/>
        <w:br/>
        <w:t>Factores relacionados com a envolvente, como o sistema legal, os principais fornecedores de capital, o nível de desenvolvimento do mercado financeiro, o sistema político e a cultura e factores relacionados com as próprias práticas contabilísticas, como a influência da fiscalidade, os principais utilizadores da informação financeira, o nível de desenvolvimento da profissão contabilística e os objectivos da contabilidade, são determinantes na evolução do sistema contabilístico de cada país.</w:t>
      </w:r>
    </w:p>
    <w:p w:rsidR="00C9410B" w:rsidRPr="00C9410B" w:rsidRDefault="00C9410B" w:rsidP="00C9410B">
      <w:pPr>
        <w:spacing w:after="0"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br/>
        <w:t>O sistema contabilístico de Portugal insere-se no conjunto de países de influência continental europeia que se caracteriza por assentar numa estrutura baseada na forte tradição legalista, influência acentuada de normativos como o Código das Sociedades Comerciais e o Código Comercial na contabilidade, importante influência da fiscalidade na contabilidade e escassa preponderância dos profissionais de contabilidade no processo de normalização.</w:t>
      </w:r>
    </w:p>
    <w:p w:rsidR="00C9410B" w:rsidRPr="00C9410B" w:rsidRDefault="00C9410B" w:rsidP="00C9410B">
      <w:pPr>
        <w:spacing w:after="0"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br/>
        <w:t xml:space="preserve">Para os princípios contabilísticos serem válidos, é </w:t>
      </w:r>
      <w:proofErr w:type="gramStart"/>
      <w:r w:rsidRPr="00C9410B">
        <w:rPr>
          <w:rFonts w:ascii="Arial" w:eastAsia="Times New Roman" w:hAnsi="Arial" w:cs="Arial"/>
          <w:sz w:val="24"/>
          <w:szCs w:val="24"/>
          <w:lang w:eastAsia="pt-PT"/>
        </w:rPr>
        <w:t>necessário que tenham</w:t>
      </w:r>
      <w:proofErr w:type="gramEnd"/>
      <w:r w:rsidRPr="00C9410B">
        <w:rPr>
          <w:rFonts w:ascii="Arial" w:eastAsia="Times New Roman" w:hAnsi="Arial" w:cs="Arial"/>
          <w:sz w:val="24"/>
          <w:szCs w:val="24"/>
          <w:lang w:eastAsia="pt-PT"/>
        </w:rPr>
        <w:t xml:space="preserve"> expressão legal, não existindo tradição da sua aceitação através do seu reconhecimento por parte da profissão contabilística.</w:t>
      </w:r>
    </w:p>
    <w:p w:rsidR="00C9410B" w:rsidRPr="00C9410B" w:rsidRDefault="00C9410B" w:rsidP="00C9410B">
      <w:pPr>
        <w:spacing w:after="0"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br/>
        <w:t>Simultaneamente, a elaboração das demonstrações financeiras é orientada para os Bancos e o Estado, os seus principais utentes. Isto porque numa economia em que poucas empresas têm as suas acções cotadas, a importância do accionista, enquanto utilizador das demonstrações financeiras, é diminuta.</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b/>
          <w:bCs/>
          <w:sz w:val="24"/>
          <w:szCs w:val="24"/>
          <w:lang w:eastAsia="pt-PT"/>
        </w:rPr>
        <w:t>A harmonização internacional e o SNC</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 xml:space="preserve">À luz das profundas alterações verificadas em Portugal ao longo das duas últimas décadas, que nos </w:t>
      </w:r>
      <w:proofErr w:type="gramStart"/>
      <w:r w:rsidRPr="00C9410B">
        <w:rPr>
          <w:rFonts w:ascii="Arial" w:eastAsia="Times New Roman" w:hAnsi="Arial" w:cs="Arial"/>
          <w:sz w:val="24"/>
          <w:szCs w:val="24"/>
          <w:lang w:eastAsia="pt-PT"/>
        </w:rPr>
        <w:t>domínios conceptual e instrumental</w:t>
      </w:r>
      <w:proofErr w:type="gramEnd"/>
      <w:r w:rsidRPr="00C9410B">
        <w:rPr>
          <w:rFonts w:ascii="Arial" w:eastAsia="Times New Roman" w:hAnsi="Arial" w:cs="Arial"/>
          <w:sz w:val="24"/>
          <w:szCs w:val="24"/>
          <w:lang w:eastAsia="pt-PT"/>
        </w:rPr>
        <w:t xml:space="preserve"> apresenta práticas que transitam de 1977, percebe-se facilmente que o paradigma do Plano Oficial de Contabilidade (POC) já não responde adequadamente às exigências contemporâneas.</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 acompanhamento da dinâmica de adopção pela União Europeia das Normas Internacionais de Contabilidade (NIC), tendo em vista a sua adopção no quadro contabilístico nacional (que se pretende actualizado), apela a que se adoptem procedimentos normativos suficientemente flexíveis.</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A evolução do sistema contabilístico português decorreu, assim, no sentido da harmonização com as práticas recomendadas pelo "</w:t>
      </w:r>
      <w:proofErr w:type="spellStart"/>
      <w:r w:rsidRPr="00C9410B">
        <w:rPr>
          <w:rFonts w:ascii="Arial" w:eastAsia="Times New Roman" w:hAnsi="Arial" w:cs="Arial"/>
          <w:sz w:val="24"/>
          <w:szCs w:val="24"/>
          <w:lang w:eastAsia="pt-PT"/>
        </w:rPr>
        <w:t>International</w:t>
      </w:r>
      <w:proofErr w:type="spellEnd"/>
      <w:r w:rsidRPr="00C9410B">
        <w:rPr>
          <w:rFonts w:ascii="Arial" w:eastAsia="Times New Roman" w:hAnsi="Arial" w:cs="Arial"/>
          <w:sz w:val="24"/>
          <w:szCs w:val="24"/>
          <w:lang w:eastAsia="pt-PT"/>
        </w:rPr>
        <w:t xml:space="preserve"> </w:t>
      </w:r>
      <w:proofErr w:type="spellStart"/>
      <w:r w:rsidRPr="00C9410B">
        <w:rPr>
          <w:rFonts w:ascii="Arial" w:eastAsia="Times New Roman" w:hAnsi="Arial" w:cs="Arial"/>
          <w:sz w:val="24"/>
          <w:szCs w:val="24"/>
          <w:lang w:eastAsia="pt-PT"/>
        </w:rPr>
        <w:t>Accounting</w:t>
      </w:r>
      <w:proofErr w:type="spellEnd"/>
      <w:r w:rsidRPr="00C9410B">
        <w:rPr>
          <w:rFonts w:ascii="Arial" w:eastAsia="Times New Roman" w:hAnsi="Arial" w:cs="Arial"/>
          <w:sz w:val="24"/>
          <w:szCs w:val="24"/>
          <w:lang w:eastAsia="pt-PT"/>
        </w:rPr>
        <w:t xml:space="preserve"> Standards </w:t>
      </w:r>
      <w:proofErr w:type="spellStart"/>
      <w:r w:rsidRPr="00C9410B">
        <w:rPr>
          <w:rFonts w:ascii="Arial" w:eastAsia="Times New Roman" w:hAnsi="Arial" w:cs="Arial"/>
          <w:sz w:val="24"/>
          <w:szCs w:val="24"/>
          <w:lang w:eastAsia="pt-PT"/>
        </w:rPr>
        <w:t>Board</w:t>
      </w:r>
      <w:proofErr w:type="spellEnd"/>
      <w:r w:rsidRPr="00C9410B">
        <w:rPr>
          <w:rFonts w:ascii="Arial" w:eastAsia="Times New Roman" w:hAnsi="Arial" w:cs="Arial"/>
          <w:sz w:val="24"/>
          <w:szCs w:val="24"/>
          <w:lang w:eastAsia="pt-PT"/>
        </w:rPr>
        <w:t>" (IASB), especificamente ao nível da valorização e do relato financeiro.</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A pressão da harmonização contabilística foi o factor exógeno decisivo para a revogação do POC e legislação complementar e implementação de um sistema de normalização na linha da modernização contabilística ocorrida na União Europeia.</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b/>
          <w:bCs/>
          <w:sz w:val="24"/>
          <w:szCs w:val="24"/>
          <w:lang w:eastAsia="pt-PT"/>
        </w:rPr>
        <w:t>A decadência do POC</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 xml:space="preserve">O Sistema de Normalização Contabilística (SNC) é um instrumento moderno ao serviço das empresas portuguesas que, não tendo valores mobiliários admitidos à negociação num mercado regulamentado, têm uma dimensão, uma estrutura de capital ou uma presença em determinadas actividades que as </w:t>
      </w:r>
      <w:r w:rsidRPr="00C9410B">
        <w:rPr>
          <w:rFonts w:ascii="Arial" w:eastAsia="Times New Roman" w:hAnsi="Arial" w:cs="Arial"/>
          <w:sz w:val="24"/>
          <w:szCs w:val="24"/>
          <w:lang w:eastAsia="pt-PT"/>
        </w:rPr>
        <w:lastRenderedPageBreak/>
        <w:t>colocam em pleno ambiente globalizado de negócios, parceiros e fontes de financiamento.</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A adopção do SNC pretende proporcionar às empresas uma qualidade de relato financeiro que já não estava ao alcance do POC, atendendo à diversidade e complexidade das operações.</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Manter o POC colocaria em risco (a curto prazo) a capacidade competitiva das empresas portuguesas, quer no acesso ao crédito, quer na internacionalização do seu negócio, podendo condicionar o desenvolvimento da própria economia.</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b/>
          <w:bCs/>
          <w:sz w:val="24"/>
          <w:szCs w:val="24"/>
          <w:lang w:eastAsia="pt-PT"/>
        </w:rPr>
        <w:t>De facto, foram as profundas deficiências do anterior normativo português que impulsionaram a criação do SNC</w:t>
      </w:r>
      <w:r w:rsidRPr="00C9410B">
        <w:rPr>
          <w:rFonts w:ascii="Arial" w:eastAsia="Times New Roman" w:hAnsi="Arial" w:cs="Arial"/>
          <w:sz w:val="24"/>
          <w:szCs w:val="24"/>
          <w:lang w:eastAsia="pt-PT"/>
        </w:rPr>
        <w:br/>
        <w:t>Podemos enumerar quatro aspectos que demonstram essa afirmação.</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 primeiro centra-se na desactualização técnica do POC, nomeadamente ao nível de aspectos conceptuais, critérios de valorimetria, estrutura de custos e proveitos, conceito de resultados, assim como no formato das demonstrações financeiras individuais e consolidadas.</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Este problema agrava-se num contexto empresarial caracterizado por uma complexidade e abrangência crescente em que as exigências qualitativas de relato financeiro são cada vez mais elevadas.</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Outro aspecto relaciona-se com a reduzida flexibilidade do POC, incompatível com a tendência dinâmica actual da normalização contabilística.</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 elevado número de NIC existentes e a sua revisão frequente apontam no sentido da emissão contínua de novas normas com um grau de complexidade crescente, não se coadunando com o POC.</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Por outro lado, também existia um conjunto de Directrizes Contabilísticas incoerente, insuficiente e desactualizado.</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Apesar de as Directrizes terem sido elaboradas com base nas NIC, estas não conseguiam incorporar, no seu formato reduzido, toda a complexidade das normas que lhes deram origem, mostrando-se insuficientes e, por vezes, incoerentes no tratamento de determinadas matérias.</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Além disso, algumas dessas NIC já foram revistas, o que faz com que certas Directrizes contenham orientações que já não estão de acordo com as normas do IASB.</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Por fim, um normativo único aplicável a todas as empresas torna-se excessivo para umas empresas e insuficiente para outras, em função das diferentes características que possuem.</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Daí que se tenha optado em Portugal pela criação de três níveis de normalização contabilística, assinaladamente:</w:t>
      </w:r>
    </w:p>
    <w:p w:rsidR="00C9410B" w:rsidRPr="00C9410B" w:rsidRDefault="00C9410B" w:rsidP="00C9410B">
      <w:pPr>
        <w:numPr>
          <w:ilvl w:val="0"/>
          <w:numId w:val="95"/>
        </w:numPr>
        <w:spacing w:before="100" w:beforeAutospacing="1" w:after="100" w:afterAutospacing="1" w:line="240" w:lineRule="auto"/>
        <w:ind w:left="489"/>
        <w:rPr>
          <w:rFonts w:ascii="Arial" w:eastAsia="Times New Roman" w:hAnsi="Arial" w:cs="Arial"/>
          <w:sz w:val="24"/>
          <w:szCs w:val="24"/>
          <w:lang w:eastAsia="pt-PT"/>
        </w:rPr>
      </w:pPr>
      <w:r w:rsidRPr="00C9410B">
        <w:rPr>
          <w:rFonts w:ascii="Arial" w:eastAsia="Times New Roman" w:hAnsi="Arial" w:cs="Arial"/>
          <w:sz w:val="24"/>
          <w:szCs w:val="24"/>
          <w:lang w:eastAsia="pt-PT"/>
        </w:rPr>
        <w:t xml:space="preserve">Empresas com valores cotados e outras que cumpram os requisitos, que aplicam directamente as normas internacionais; </w:t>
      </w:r>
    </w:p>
    <w:p w:rsidR="00C9410B" w:rsidRPr="00C9410B" w:rsidRDefault="00C9410B" w:rsidP="00C9410B">
      <w:pPr>
        <w:numPr>
          <w:ilvl w:val="0"/>
          <w:numId w:val="95"/>
        </w:numPr>
        <w:spacing w:before="100" w:beforeAutospacing="1" w:after="100" w:afterAutospacing="1" w:line="240" w:lineRule="auto"/>
        <w:ind w:left="489"/>
        <w:rPr>
          <w:rFonts w:ascii="Arial" w:eastAsia="Times New Roman" w:hAnsi="Arial" w:cs="Arial"/>
          <w:sz w:val="24"/>
          <w:szCs w:val="24"/>
          <w:lang w:eastAsia="pt-PT"/>
        </w:rPr>
      </w:pPr>
      <w:r w:rsidRPr="00C9410B">
        <w:rPr>
          <w:rFonts w:ascii="Arial" w:eastAsia="Times New Roman" w:hAnsi="Arial" w:cs="Arial"/>
          <w:sz w:val="24"/>
          <w:szCs w:val="24"/>
          <w:lang w:eastAsia="pt-PT"/>
        </w:rPr>
        <w:t xml:space="preserve">Sociedades abrangidas pelo Código das Sociedades Comerciais, empresas individuais reguladas pelo Código Comercial, </w:t>
      </w:r>
    </w:p>
    <w:p w:rsidR="00C9410B" w:rsidRPr="00C9410B" w:rsidRDefault="00C9410B" w:rsidP="00C9410B">
      <w:pPr>
        <w:numPr>
          <w:ilvl w:val="0"/>
          <w:numId w:val="95"/>
        </w:numPr>
        <w:spacing w:before="100" w:beforeAutospacing="1" w:after="100" w:afterAutospacing="1" w:line="240" w:lineRule="auto"/>
        <w:ind w:left="489"/>
        <w:rPr>
          <w:rFonts w:ascii="Arial" w:eastAsia="Times New Roman" w:hAnsi="Arial" w:cs="Arial"/>
          <w:sz w:val="24"/>
          <w:szCs w:val="24"/>
          <w:lang w:eastAsia="pt-PT"/>
        </w:rPr>
      </w:pPr>
      <w:proofErr w:type="gramStart"/>
      <w:r w:rsidRPr="00C9410B">
        <w:rPr>
          <w:rFonts w:ascii="Arial" w:eastAsia="Times New Roman" w:hAnsi="Arial" w:cs="Arial"/>
          <w:sz w:val="24"/>
          <w:szCs w:val="24"/>
          <w:lang w:eastAsia="pt-PT"/>
        </w:rPr>
        <w:t>Estabelecimentos Individuais de Responsabilidade Limitada</w:t>
      </w:r>
      <w:proofErr w:type="gramEnd"/>
      <w:r w:rsidRPr="00C9410B">
        <w:rPr>
          <w:rFonts w:ascii="Arial" w:eastAsia="Times New Roman" w:hAnsi="Arial" w:cs="Arial"/>
          <w:sz w:val="24"/>
          <w:szCs w:val="24"/>
          <w:lang w:eastAsia="pt-PT"/>
        </w:rPr>
        <w:t xml:space="preserve">, empresas públicas, cooperativas, agrupamentos complementares de empresas e agrupamentos europeus de interesse económico e outras entidades que, </w:t>
      </w:r>
      <w:r w:rsidRPr="00C9410B">
        <w:rPr>
          <w:rFonts w:ascii="Arial" w:eastAsia="Times New Roman" w:hAnsi="Arial" w:cs="Arial"/>
          <w:sz w:val="24"/>
          <w:szCs w:val="24"/>
          <w:lang w:eastAsia="pt-PT"/>
        </w:rPr>
        <w:lastRenderedPageBreak/>
        <w:t xml:space="preserve">por legislação específica, se encontrem </w:t>
      </w:r>
      <w:proofErr w:type="gramStart"/>
      <w:r w:rsidRPr="00C9410B">
        <w:rPr>
          <w:rFonts w:ascii="Arial" w:eastAsia="Times New Roman" w:hAnsi="Arial" w:cs="Arial"/>
          <w:sz w:val="24"/>
          <w:szCs w:val="24"/>
          <w:lang w:eastAsia="pt-PT"/>
        </w:rPr>
        <w:t>sujeitas</w:t>
      </w:r>
      <w:proofErr w:type="gramEnd"/>
      <w:r w:rsidRPr="00C9410B">
        <w:rPr>
          <w:rFonts w:ascii="Arial" w:eastAsia="Times New Roman" w:hAnsi="Arial" w:cs="Arial"/>
          <w:sz w:val="24"/>
          <w:szCs w:val="24"/>
          <w:lang w:eastAsia="pt-PT"/>
        </w:rPr>
        <w:t xml:space="preserve"> ao SNC, que aplicam as Normas Contabilísticas e de Relato Financeiro (NCRF); </w:t>
      </w:r>
    </w:p>
    <w:p w:rsidR="00C9410B" w:rsidRPr="00C9410B" w:rsidRDefault="00C9410B" w:rsidP="00C9410B">
      <w:pPr>
        <w:numPr>
          <w:ilvl w:val="0"/>
          <w:numId w:val="95"/>
        </w:numPr>
        <w:spacing w:before="100" w:beforeAutospacing="1" w:after="100" w:afterAutospacing="1" w:line="240" w:lineRule="auto"/>
        <w:ind w:left="489"/>
        <w:rPr>
          <w:rFonts w:ascii="Arial" w:eastAsia="Times New Roman" w:hAnsi="Arial" w:cs="Arial"/>
          <w:sz w:val="24"/>
          <w:szCs w:val="24"/>
          <w:lang w:eastAsia="pt-PT"/>
        </w:rPr>
      </w:pPr>
      <w:r w:rsidRPr="00C9410B">
        <w:rPr>
          <w:rFonts w:ascii="Arial" w:eastAsia="Times New Roman" w:hAnsi="Arial" w:cs="Arial"/>
          <w:sz w:val="24"/>
          <w:szCs w:val="24"/>
          <w:lang w:eastAsia="pt-PT"/>
        </w:rPr>
        <w:t xml:space="preserve">Empresas de menor dimensão, que aplicam a Norma Contabilística e de Relato Financeiro - Pequenas Entidades. </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b/>
          <w:bCs/>
          <w:sz w:val="24"/>
          <w:szCs w:val="24"/>
          <w:lang w:eastAsia="pt-PT"/>
        </w:rPr>
        <w:t>A revolução do SNC</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 SNC trouxe várias alterações em termos de prática da contabilidade.</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Uma dessas modificações reside na designada "gíria contabilística".</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Alguns conceitos que adoptávamos com um significado passam a ser utilizados com outro (como, por exemplo, os conceitos de gastos e inventários).</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Introduzem-se também novos conceitos (ou ganham destaque) como a imparidade, o justo valor, os activos biológicos ou as propriedades de investimento.</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Outra dessas mudanças relaciona-se com o grau de subjectividade.</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 SNC irá exigir muitas vezes julgamentos ao Técnico Oficial de Contas. As normas do SNC baseiam-se em princípios e não em regras, o que leva a um maior reconhecimento de capacidades, mas similarmente a uma maior responsabilização.</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 xml:space="preserve">A qualidade dos recursos humanos disponíveis e a sua formação são cada </w:t>
      </w:r>
      <w:proofErr w:type="gramStart"/>
      <w:r w:rsidRPr="00C9410B">
        <w:rPr>
          <w:rFonts w:ascii="Arial" w:eastAsia="Times New Roman" w:hAnsi="Arial" w:cs="Arial"/>
          <w:sz w:val="24"/>
          <w:szCs w:val="24"/>
          <w:lang w:eastAsia="pt-PT"/>
        </w:rPr>
        <w:t>vez preponderantes</w:t>
      </w:r>
      <w:proofErr w:type="gramEnd"/>
      <w:r w:rsidRPr="00C9410B">
        <w:rPr>
          <w:rFonts w:ascii="Arial" w:eastAsia="Times New Roman" w:hAnsi="Arial" w:cs="Arial"/>
          <w:sz w:val="24"/>
          <w:szCs w:val="24"/>
          <w:lang w:eastAsia="pt-PT"/>
        </w:rPr>
        <w:t xml:space="preserve"> para proporcionar à gestão um relato financeiro de qualidade.</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Também ao nível dos critérios contabilísticos foram grandes as transformações ocorridas, exigindo-se um forte aumento das divulgações.</w:t>
      </w:r>
      <w:r w:rsidRPr="00C9410B">
        <w:rPr>
          <w:rFonts w:ascii="Arial" w:eastAsia="Times New Roman" w:hAnsi="Arial" w:cs="Arial"/>
          <w:sz w:val="24"/>
          <w:szCs w:val="24"/>
          <w:lang w:eastAsia="pt-PT"/>
        </w:rPr>
        <w:br/>
        <w:t>Procedeu-se igualmente a uma maior utilização do justo valor como medida contabilística (maior preocupação com a relevância e menor preocupação com a fiabilidade) e a um maior uso do valor actual como medida contabilística (preocupação com o valor temporal do dinheiro).</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Os formatos das demonstrações financeiras alteraram-se e ocorreram alterações substanciais no código de contas.</w:t>
      </w:r>
    </w:p>
    <w:p w:rsidR="00C9410B" w:rsidRPr="00C9410B" w:rsidRDefault="00C9410B" w:rsidP="00C9410B">
      <w:pPr>
        <w:spacing w:before="58" w:after="115" w:line="240" w:lineRule="auto"/>
        <w:jc w:val="both"/>
        <w:rPr>
          <w:rFonts w:ascii="Arial" w:eastAsia="Times New Roman" w:hAnsi="Arial" w:cs="Arial"/>
          <w:sz w:val="24"/>
          <w:szCs w:val="24"/>
          <w:lang w:eastAsia="pt-PT"/>
        </w:rPr>
      </w:pPr>
      <w:r w:rsidRPr="00C9410B">
        <w:rPr>
          <w:rFonts w:ascii="Arial" w:eastAsia="Times New Roman" w:hAnsi="Arial" w:cs="Arial"/>
          <w:b/>
          <w:bCs/>
          <w:sz w:val="24"/>
          <w:szCs w:val="24"/>
          <w:lang w:eastAsia="pt-PT"/>
        </w:rPr>
        <w:t>Concluindo...</w:t>
      </w:r>
    </w:p>
    <w:p w:rsidR="00C9410B" w:rsidRDefault="00C9410B" w:rsidP="00C9410B">
      <w:pPr>
        <w:spacing w:before="58" w:line="240" w:lineRule="auto"/>
        <w:jc w:val="both"/>
        <w:rPr>
          <w:rFonts w:ascii="Arial" w:eastAsia="Times New Roman" w:hAnsi="Arial" w:cs="Arial"/>
          <w:sz w:val="24"/>
          <w:szCs w:val="24"/>
          <w:lang w:eastAsia="pt-PT"/>
        </w:rPr>
      </w:pPr>
      <w:r w:rsidRPr="00C9410B">
        <w:rPr>
          <w:rFonts w:ascii="Arial" w:eastAsia="Times New Roman" w:hAnsi="Arial" w:cs="Arial"/>
          <w:sz w:val="24"/>
          <w:szCs w:val="24"/>
          <w:lang w:eastAsia="pt-PT"/>
        </w:rPr>
        <w:t>O SNC segue a velha máxima de tratar "diferentes como diferentes" e "iguais como iguais".</w:t>
      </w:r>
      <w:r w:rsidRPr="00C9410B">
        <w:rPr>
          <w:rFonts w:ascii="Arial" w:eastAsia="Times New Roman" w:hAnsi="Arial" w:cs="Arial"/>
          <w:sz w:val="24"/>
          <w:szCs w:val="24"/>
          <w:lang w:eastAsia="pt-PT"/>
        </w:rPr>
        <w:br/>
        <w:t>Num tecido empresarial tão heterogéneo como o português, esse tratamento parece bastante razoável.</w:t>
      </w:r>
      <w:r w:rsidRPr="00C9410B">
        <w:rPr>
          <w:rFonts w:ascii="Arial" w:eastAsia="Times New Roman" w:hAnsi="Arial" w:cs="Arial"/>
          <w:sz w:val="24"/>
          <w:szCs w:val="24"/>
          <w:lang w:eastAsia="pt-PT"/>
        </w:rPr>
        <w:br/>
        <w:t>O ano de 2010 será o seu período experimental, mas julgo que já não existem dúvidas de que este novo paradigma criou uma nova forma de olhar e pensar a contabilidade.</w:t>
      </w:r>
    </w:p>
    <w:p w:rsidR="005F39C8" w:rsidRPr="00C9410B" w:rsidRDefault="005F39C8" w:rsidP="00C9410B">
      <w:pPr>
        <w:spacing w:before="58" w:line="240" w:lineRule="auto"/>
        <w:jc w:val="both"/>
        <w:rPr>
          <w:rFonts w:ascii="Arial" w:eastAsia="Times New Roman" w:hAnsi="Arial" w:cs="Arial"/>
          <w:sz w:val="24"/>
          <w:szCs w:val="24"/>
          <w:lang w:eastAsia="pt-PT"/>
        </w:rPr>
      </w:pPr>
    </w:p>
    <w:p w:rsidR="0028710B" w:rsidRDefault="00256C2D" w:rsidP="0028710B">
      <w:pPr>
        <w:spacing w:before="115" w:line="264" w:lineRule="auto"/>
        <w:outlineLvl w:val="2"/>
        <w:rPr>
          <w:rFonts w:ascii="Georgia" w:hAnsi="Georgia" w:cs="Arial"/>
          <w:color w:val="FF0000"/>
          <w:spacing w:val="-12"/>
          <w:sz w:val="42"/>
          <w:szCs w:val="42"/>
        </w:rPr>
      </w:pPr>
      <w:bookmarkStart w:id="2" w:name="_Toc290996377"/>
      <w:r w:rsidRPr="00256C2D">
        <w:rPr>
          <w:rFonts w:ascii="Georgia" w:hAnsi="Georgia" w:cs="Arial"/>
          <w:color w:val="FF0000"/>
          <w:spacing w:val="-12"/>
          <w:sz w:val="42"/>
          <w:szCs w:val="42"/>
        </w:rPr>
        <w:t>Algumas mudanças importantes trazidas pelo novo sistema de normalização contabilística</w:t>
      </w:r>
      <w:bookmarkEnd w:id="2"/>
    </w:p>
    <w:p w:rsidR="00256C2D" w:rsidRPr="00256C2D" w:rsidRDefault="00256C2D" w:rsidP="00256C2D">
      <w:pPr>
        <w:spacing w:after="0" w:line="276" w:lineRule="atLeast"/>
        <w:jc w:val="both"/>
        <w:rPr>
          <w:rFonts w:ascii="Arial" w:eastAsia="Times New Roman" w:hAnsi="Arial" w:cs="Arial"/>
          <w:b/>
          <w:bCs/>
          <w:color w:val="444444"/>
          <w:sz w:val="21"/>
          <w:szCs w:val="21"/>
          <w:lang w:eastAsia="pt-PT"/>
        </w:rPr>
      </w:pPr>
      <w:r w:rsidRPr="00256C2D">
        <w:rPr>
          <w:rFonts w:ascii="Arial" w:eastAsia="Times New Roman" w:hAnsi="Arial" w:cs="Arial"/>
          <w:b/>
          <w:bCs/>
          <w:color w:val="444444"/>
          <w:sz w:val="21"/>
          <w:szCs w:val="21"/>
          <w:lang w:eastAsia="pt-PT"/>
        </w:rPr>
        <w:t xml:space="preserve">Com o aproximar do fim do ano, a maior parte das empresas em Portugal prepara-se para fechar as contas do exercício de 2010. Desta vez, com a introdução do novo sistema de normalização contabilística (SNC) a 1 de Janeiro de 2010 - que substitui o </w:t>
      </w:r>
      <w:r w:rsidRPr="00256C2D">
        <w:rPr>
          <w:rFonts w:ascii="Arial" w:eastAsia="Times New Roman" w:hAnsi="Arial" w:cs="Arial"/>
          <w:b/>
          <w:bCs/>
          <w:color w:val="444444"/>
          <w:sz w:val="21"/>
          <w:szCs w:val="21"/>
          <w:lang w:eastAsia="pt-PT"/>
        </w:rPr>
        <w:lastRenderedPageBreak/>
        <w:t>Plano Oficial de Contas (POC) - a azáfama do encerramento de contas será maior. O sistema de normalização contabilística representa uma mudança profunda que obrigará as empresas a prepararem-se devidamente para a sua introdução. Neste artigo, explicamos algumas das  mudanças relacionadas com a adopção pela primeira vez do SNC.</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b/>
          <w:bCs/>
          <w:sz w:val="24"/>
          <w:szCs w:val="24"/>
          <w:lang w:eastAsia="pt-PT"/>
        </w:rPr>
        <w:t>A adopção pela primeira vez das Normas Contabilísticas e de Relato Financeiro</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Ainda que o sistema de normalização contabilística se aplique pela primeira vez a partir do exercício de 2010, as demonstrações financeiras do exercício anterior (2009), terão de ser já preparadas de acordo com as normas </w:t>
      </w:r>
      <w:proofErr w:type="spellStart"/>
      <w:r w:rsidRPr="00256C2D">
        <w:rPr>
          <w:rFonts w:ascii="Arial" w:eastAsia="Times New Roman" w:hAnsi="Arial" w:cs="Arial"/>
          <w:sz w:val="24"/>
          <w:szCs w:val="24"/>
          <w:lang w:eastAsia="pt-PT"/>
        </w:rPr>
        <w:t>contabilísicas</w:t>
      </w:r>
      <w:proofErr w:type="spellEnd"/>
      <w:r w:rsidRPr="00256C2D">
        <w:rPr>
          <w:rFonts w:ascii="Arial" w:eastAsia="Times New Roman" w:hAnsi="Arial" w:cs="Arial"/>
          <w:sz w:val="24"/>
          <w:szCs w:val="24"/>
          <w:lang w:eastAsia="pt-PT"/>
        </w:rPr>
        <w:t xml:space="preserve"> de relato financeiro (NCRF). A razão desta exigência prende-se com o requisito da comparabilidade da informação contida nas demonstrações financeiras. Não faria sentido apresentar contas no </w:t>
      </w:r>
      <w:proofErr w:type="spellStart"/>
      <w:r w:rsidRPr="00256C2D">
        <w:rPr>
          <w:rFonts w:ascii="Arial" w:eastAsia="Times New Roman" w:hAnsi="Arial" w:cs="Arial"/>
          <w:sz w:val="24"/>
          <w:szCs w:val="24"/>
          <w:lang w:eastAsia="pt-PT"/>
        </w:rPr>
        <w:t>fnal</w:t>
      </w:r>
      <w:proofErr w:type="spellEnd"/>
      <w:r w:rsidRPr="00256C2D">
        <w:rPr>
          <w:rFonts w:ascii="Arial" w:eastAsia="Times New Roman" w:hAnsi="Arial" w:cs="Arial"/>
          <w:sz w:val="24"/>
          <w:szCs w:val="24"/>
          <w:lang w:eastAsia="pt-PT"/>
        </w:rPr>
        <w:t xml:space="preserve"> do exercício de 2010 com base no SNC e apresentar, nas mesmas demonstrações financeiras, o ano de 2009 com base no POC para efeitos de comparação.</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Assim, a NCRF 3, exige que se prepare um balanço de abertura de acordo com as NCRF. Esta peça contabilística não é mais do que o balanço do exercício de 2009, </w:t>
      </w:r>
      <w:proofErr w:type="spellStart"/>
      <w:r w:rsidRPr="00256C2D">
        <w:rPr>
          <w:rFonts w:ascii="Arial" w:eastAsia="Times New Roman" w:hAnsi="Arial" w:cs="Arial"/>
          <w:sz w:val="24"/>
          <w:szCs w:val="24"/>
          <w:lang w:eastAsia="pt-PT"/>
        </w:rPr>
        <w:t>reexpresso</w:t>
      </w:r>
      <w:proofErr w:type="spellEnd"/>
      <w:r w:rsidRPr="00256C2D">
        <w:rPr>
          <w:rFonts w:ascii="Arial" w:eastAsia="Times New Roman" w:hAnsi="Arial" w:cs="Arial"/>
          <w:sz w:val="24"/>
          <w:szCs w:val="24"/>
          <w:lang w:eastAsia="pt-PT"/>
        </w:rPr>
        <w:t xml:space="preserve"> de acordo com o SNC. Ora, como as regras do POC são diferentes, esta transição obrigará as empresas a uma série de movimentos de ajustamento:</w:t>
      </w:r>
    </w:p>
    <w:p w:rsidR="00256C2D" w:rsidRPr="00256C2D" w:rsidRDefault="00256C2D" w:rsidP="00256C2D">
      <w:pPr>
        <w:numPr>
          <w:ilvl w:val="0"/>
          <w:numId w:val="96"/>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Reconhecer todos os activos e passivos cujo reconhecimento seja exigido pelas NCRF. É o caso de alguns gastos financeiros relacionados com a aquisição de inventários, que passam a poder ser capitalizados, dos activos biológicos ou do reconhecimento de descobertos bancários no passivo, por exemplo; </w:t>
      </w:r>
    </w:p>
    <w:p w:rsidR="00256C2D" w:rsidRPr="00256C2D" w:rsidRDefault="00256C2D" w:rsidP="00256C2D">
      <w:pPr>
        <w:numPr>
          <w:ilvl w:val="0"/>
          <w:numId w:val="96"/>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Não reconhecer itens como activos ou passivos se as NCRF não permitirem esse reconhecimento. Teremos, por exemplo, o </w:t>
      </w:r>
      <w:proofErr w:type="spellStart"/>
      <w:r w:rsidRPr="00256C2D">
        <w:rPr>
          <w:rFonts w:ascii="Arial" w:eastAsia="Times New Roman" w:hAnsi="Arial" w:cs="Arial"/>
          <w:sz w:val="24"/>
          <w:szCs w:val="24"/>
          <w:lang w:eastAsia="pt-PT"/>
        </w:rPr>
        <w:t>desreconhecimento</w:t>
      </w:r>
      <w:proofErr w:type="spellEnd"/>
      <w:r w:rsidRPr="00256C2D">
        <w:rPr>
          <w:rFonts w:ascii="Arial" w:eastAsia="Times New Roman" w:hAnsi="Arial" w:cs="Arial"/>
          <w:sz w:val="24"/>
          <w:szCs w:val="24"/>
          <w:lang w:eastAsia="pt-PT"/>
        </w:rPr>
        <w:t xml:space="preserve"> das despesas de constituição e arranque como activo intangível, passando a ser consideradas como gastos do exercício, o </w:t>
      </w:r>
      <w:proofErr w:type="spellStart"/>
      <w:r w:rsidRPr="00256C2D">
        <w:rPr>
          <w:rFonts w:ascii="Arial" w:eastAsia="Times New Roman" w:hAnsi="Arial" w:cs="Arial"/>
          <w:sz w:val="24"/>
          <w:szCs w:val="24"/>
          <w:lang w:eastAsia="pt-PT"/>
        </w:rPr>
        <w:t>desreconhecimento</w:t>
      </w:r>
      <w:proofErr w:type="spellEnd"/>
      <w:r w:rsidRPr="00256C2D">
        <w:rPr>
          <w:rFonts w:ascii="Arial" w:eastAsia="Times New Roman" w:hAnsi="Arial" w:cs="Arial"/>
          <w:sz w:val="24"/>
          <w:szCs w:val="24"/>
          <w:lang w:eastAsia="pt-PT"/>
        </w:rPr>
        <w:t xml:space="preserve"> de activos intangíveis gerados internamente ou a </w:t>
      </w:r>
      <w:proofErr w:type="spellStart"/>
      <w:r w:rsidRPr="00256C2D">
        <w:rPr>
          <w:rFonts w:ascii="Arial" w:eastAsia="Times New Roman" w:hAnsi="Arial" w:cs="Arial"/>
          <w:sz w:val="24"/>
          <w:szCs w:val="24"/>
          <w:lang w:eastAsia="pt-PT"/>
        </w:rPr>
        <w:t>subtração</w:t>
      </w:r>
      <w:proofErr w:type="spellEnd"/>
      <w:r w:rsidRPr="00256C2D">
        <w:rPr>
          <w:rFonts w:ascii="Arial" w:eastAsia="Times New Roman" w:hAnsi="Arial" w:cs="Arial"/>
          <w:sz w:val="24"/>
          <w:szCs w:val="24"/>
          <w:lang w:eastAsia="pt-PT"/>
        </w:rPr>
        <w:t xml:space="preserve"> ao capital social do capital que não foi realizado (de acordo com o POC, o capital social não realizado era apresentado como um activo); </w:t>
      </w:r>
    </w:p>
    <w:p w:rsidR="00256C2D" w:rsidRPr="00256C2D" w:rsidRDefault="00256C2D" w:rsidP="00256C2D">
      <w:pPr>
        <w:numPr>
          <w:ilvl w:val="0"/>
          <w:numId w:val="96"/>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Reclassificar itens que eram anteriormente reconhecidos como um tipo de activo, passivo ou componente do capital próprio, mas que são um tipo diferente de activo, passivo ou componente do capital próprio segundo as NCRF. Será o caso dos activos detidos para venda, das unidades operacionais descontinuadas e dos subsídios do Governo; </w:t>
      </w:r>
    </w:p>
    <w:p w:rsidR="00256C2D" w:rsidRPr="00256C2D" w:rsidRDefault="00256C2D" w:rsidP="00256C2D">
      <w:pPr>
        <w:numPr>
          <w:ilvl w:val="0"/>
          <w:numId w:val="96"/>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Aplicar as NCRF na mensuração de todos os activos e passivos reconhecidos. Em alguns casos, as NCRF permitem a opção pela mensuração de alguns activos e passivos pelo justo valor, o que difere do POC, que mensurava praticamente todos os activos e passivos pelo custo. </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sz w:val="24"/>
          <w:szCs w:val="24"/>
          <w:lang w:eastAsia="pt-PT"/>
        </w:rPr>
        <w:t>Esta norma acrescenta ainda dois tipos de situações em que as regras do SNC não se aplicam ao balanço de abertura. Aliás, proíbe mesmo a adaptação das NCRF a determinados casos e isenta a sua implementação noutros.</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b/>
          <w:bCs/>
          <w:sz w:val="24"/>
          <w:szCs w:val="24"/>
          <w:lang w:eastAsia="pt-PT"/>
        </w:rPr>
        <w:t xml:space="preserve">Em que casos se proíbe a aplicação retrospectiva das NCRF? </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sz w:val="24"/>
          <w:szCs w:val="24"/>
          <w:lang w:eastAsia="pt-PT"/>
        </w:rPr>
        <w:lastRenderedPageBreak/>
        <w:t xml:space="preserve">Aos casos relacionados com o </w:t>
      </w:r>
      <w:proofErr w:type="spellStart"/>
      <w:r w:rsidRPr="00256C2D">
        <w:rPr>
          <w:rFonts w:ascii="Arial" w:eastAsia="Times New Roman" w:hAnsi="Arial" w:cs="Arial"/>
          <w:sz w:val="24"/>
          <w:szCs w:val="24"/>
          <w:lang w:eastAsia="pt-PT"/>
        </w:rPr>
        <w:t>desreconhecimento</w:t>
      </w:r>
      <w:proofErr w:type="spellEnd"/>
      <w:r w:rsidRPr="00256C2D">
        <w:rPr>
          <w:rFonts w:ascii="Arial" w:eastAsia="Times New Roman" w:hAnsi="Arial" w:cs="Arial"/>
          <w:sz w:val="24"/>
          <w:szCs w:val="24"/>
          <w:lang w:eastAsia="pt-PT"/>
        </w:rPr>
        <w:t xml:space="preserve"> de activos financeiros e passivos financeiros, isto é, nos casos em que a empresa tenha anteriormente </w:t>
      </w:r>
      <w:proofErr w:type="spellStart"/>
      <w:r w:rsidRPr="00256C2D">
        <w:rPr>
          <w:rFonts w:ascii="Arial" w:eastAsia="Times New Roman" w:hAnsi="Arial" w:cs="Arial"/>
          <w:sz w:val="24"/>
          <w:szCs w:val="24"/>
          <w:lang w:eastAsia="pt-PT"/>
        </w:rPr>
        <w:t>desreconhecido</w:t>
      </w:r>
      <w:proofErr w:type="spellEnd"/>
      <w:r w:rsidRPr="00256C2D">
        <w:rPr>
          <w:rFonts w:ascii="Arial" w:eastAsia="Times New Roman" w:hAnsi="Arial" w:cs="Arial"/>
          <w:sz w:val="24"/>
          <w:szCs w:val="24"/>
          <w:lang w:eastAsia="pt-PT"/>
        </w:rPr>
        <w:t xml:space="preserve"> este tipo de activos e passivos, não os poderá reconhecer na transição para SNC.</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Na contabilidade de coberturas, na transição para o SNC, todos os instrumentos </w:t>
      </w:r>
      <w:proofErr w:type="spellStart"/>
      <w:r w:rsidRPr="00256C2D">
        <w:rPr>
          <w:rFonts w:ascii="Arial" w:eastAsia="Times New Roman" w:hAnsi="Arial" w:cs="Arial"/>
          <w:sz w:val="24"/>
          <w:szCs w:val="24"/>
          <w:lang w:eastAsia="pt-PT"/>
        </w:rPr>
        <w:t>finaneiros</w:t>
      </w:r>
      <w:proofErr w:type="spellEnd"/>
      <w:r w:rsidRPr="00256C2D">
        <w:rPr>
          <w:rFonts w:ascii="Arial" w:eastAsia="Times New Roman" w:hAnsi="Arial" w:cs="Arial"/>
          <w:sz w:val="24"/>
          <w:szCs w:val="24"/>
          <w:lang w:eastAsia="pt-PT"/>
        </w:rPr>
        <w:t xml:space="preserve"> derivados terão de ser mensurados ao justo valor, eliminando-se as perdas e os ganhos diferidos, anteriormente classificados como activos e passivos.</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sz w:val="24"/>
          <w:szCs w:val="24"/>
          <w:lang w:eastAsia="pt-PT"/>
        </w:rPr>
        <w:t>As estimativas devem ser mantidas na data de transição para o sistema de normalização contabilística de acordo com o referencial contabilístico anterior. Neste caso, abre-se uma excepção sempre que se demonstre que as estimativas anteriores estavam erradas.</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b/>
          <w:bCs/>
          <w:sz w:val="24"/>
          <w:szCs w:val="24"/>
          <w:lang w:eastAsia="pt-PT"/>
        </w:rPr>
        <w:t>Em que casos de isenta da obrigação retrospectiva das NCRF?</w:t>
      </w:r>
    </w:p>
    <w:p w:rsidR="00256C2D" w:rsidRPr="00256C2D" w:rsidRDefault="00256C2D" w:rsidP="00256C2D">
      <w:pPr>
        <w:spacing w:before="58" w:after="115" w:line="240" w:lineRule="auto"/>
        <w:jc w:val="both"/>
        <w:rPr>
          <w:rFonts w:ascii="Arial" w:eastAsia="Times New Roman" w:hAnsi="Arial" w:cs="Arial"/>
          <w:sz w:val="24"/>
          <w:szCs w:val="24"/>
          <w:lang w:eastAsia="pt-PT"/>
        </w:rPr>
      </w:pPr>
      <w:r w:rsidRPr="00256C2D">
        <w:rPr>
          <w:rFonts w:ascii="Arial" w:eastAsia="Times New Roman" w:hAnsi="Arial" w:cs="Arial"/>
          <w:sz w:val="24"/>
          <w:szCs w:val="24"/>
          <w:lang w:eastAsia="pt-PT"/>
        </w:rPr>
        <w:t>Nos seguintes casos, a adopção retrospectiva das NCRF no balanço de abertura poderá não ser realizada:</w:t>
      </w:r>
    </w:p>
    <w:p w:rsidR="00256C2D" w:rsidRPr="00256C2D" w:rsidRDefault="00256C2D" w:rsidP="00256C2D">
      <w:pPr>
        <w:numPr>
          <w:ilvl w:val="0"/>
          <w:numId w:val="97"/>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Concentrações de actividades empresariais. Nestes casos, as empresas podem considerar o valor líquido do </w:t>
      </w:r>
      <w:proofErr w:type="spellStart"/>
      <w:r w:rsidRPr="00256C2D">
        <w:rPr>
          <w:rFonts w:ascii="Arial" w:eastAsia="Times New Roman" w:hAnsi="Arial" w:cs="Arial"/>
          <w:sz w:val="24"/>
          <w:szCs w:val="24"/>
          <w:lang w:eastAsia="pt-PT"/>
        </w:rPr>
        <w:t>goodwill</w:t>
      </w:r>
      <w:proofErr w:type="spellEnd"/>
      <w:r w:rsidRPr="00256C2D">
        <w:rPr>
          <w:rFonts w:ascii="Arial" w:eastAsia="Times New Roman" w:hAnsi="Arial" w:cs="Arial"/>
          <w:sz w:val="24"/>
          <w:szCs w:val="24"/>
          <w:lang w:eastAsia="pt-PT"/>
        </w:rPr>
        <w:t xml:space="preserve"> como o valor do activo no balanço de abertura, o que não é normalmente permitido com as NCRF, dado que não se permite a depreciação do </w:t>
      </w:r>
      <w:proofErr w:type="spellStart"/>
      <w:r w:rsidRPr="00256C2D">
        <w:rPr>
          <w:rFonts w:ascii="Arial" w:eastAsia="Times New Roman" w:hAnsi="Arial" w:cs="Arial"/>
          <w:sz w:val="24"/>
          <w:szCs w:val="24"/>
          <w:lang w:eastAsia="pt-PT"/>
        </w:rPr>
        <w:t>goodwill</w:t>
      </w:r>
      <w:proofErr w:type="spellEnd"/>
      <w:r w:rsidRPr="00256C2D">
        <w:rPr>
          <w:rFonts w:ascii="Arial" w:eastAsia="Times New Roman" w:hAnsi="Arial" w:cs="Arial"/>
          <w:sz w:val="24"/>
          <w:szCs w:val="24"/>
          <w:lang w:eastAsia="pt-PT"/>
        </w:rPr>
        <w:t xml:space="preserve">; </w:t>
      </w:r>
    </w:p>
    <w:p w:rsidR="00256C2D" w:rsidRPr="00256C2D" w:rsidRDefault="00256C2D" w:rsidP="00256C2D">
      <w:pPr>
        <w:numPr>
          <w:ilvl w:val="0"/>
          <w:numId w:val="97"/>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Justo valor ou revalorização como custo considerado. Será permitido mensurar activos fixos tangíveis ao custo ou ao valor revalorizado, ou seja, no momento de transição, os activos poderão ser mensurados pelo seu valor líquido de acordo com o POC e, a partir desse momento, optar pela mensuração pelo método do custo ou pelo método da revalorização: </w:t>
      </w:r>
    </w:p>
    <w:p w:rsidR="00256C2D" w:rsidRPr="00256C2D" w:rsidRDefault="00256C2D" w:rsidP="00256C2D">
      <w:pPr>
        <w:numPr>
          <w:ilvl w:val="0"/>
          <w:numId w:val="97"/>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Benefícios dos empregados. Permite-se a aplicação prospectiva do método do corredor ao reconhecimento de ganhos e perdas </w:t>
      </w:r>
      <w:proofErr w:type="spellStart"/>
      <w:r w:rsidRPr="00256C2D">
        <w:rPr>
          <w:rFonts w:ascii="Arial" w:eastAsia="Times New Roman" w:hAnsi="Arial" w:cs="Arial"/>
          <w:sz w:val="24"/>
          <w:szCs w:val="24"/>
          <w:lang w:eastAsia="pt-PT"/>
        </w:rPr>
        <w:t>actuariais</w:t>
      </w:r>
      <w:proofErr w:type="spellEnd"/>
      <w:r w:rsidRPr="00256C2D">
        <w:rPr>
          <w:rFonts w:ascii="Arial" w:eastAsia="Times New Roman" w:hAnsi="Arial" w:cs="Arial"/>
          <w:sz w:val="24"/>
          <w:szCs w:val="24"/>
          <w:lang w:eastAsia="pt-PT"/>
        </w:rPr>
        <w:t xml:space="preserve">; </w:t>
      </w:r>
    </w:p>
    <w:p w:rsidR="00256C2D" w:rsidRPr="00256C2D" w:rsidRDefault="00256C2D" w:rsidP="00256C2D">
      <w:pPr>
        <w:numPr>
          <w:ilvl w:val="0"/>
          <w:numId w:val="97"/>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Diferenças de transposição cumulativas; </w:t>
      </w:r>
    </w:p>
    <w:p w:rsidR="00256C2D" w:rsidRPr="00256C2D" w:rsidRDefault="00256C2D" w:rsidP="00256C2D">
      <w:pPr>
        <w:numPr>
          <w:ilvl w:val="0"/>
          <w:numId w:val="97"/>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Instrumentos financeiros compostos; </w:t>
      </w:r>
    </w:p>
    <w:p w:rsidR="00256C2D" w:rsidRPr="00256C2D" w:rsidRDefault="00256C2D" w:rsidP="00256C2D">
      <w:pPr>
        <w:numPr>
          <w:ilvl w:val="0"/>
          <w:numId w:val="97"/>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A designação de instrumentos financeiros previamente reconhecidos; e </w:t>
      </w:r>
    </w:p>
    <w:p w:rsidR="00256C2D" w:rsidRPr="00256C2D" w:rsidRDefault="00256C2D" w:rsidP="00256C2D">
      <w:pPr>
        <w:numPr>
          <w:ilvl w:val="0"/>
          <w:numId w:val="97"/>
        </w:numPr>
        <w:spacing w:before="100" w:beforeAutospacing="1" w:after="100" w:afterAutospacing="1" w:line="240" w:lineRule="auto"/>
        <w:ind w:left="489"/>
        <w:rPr>
          <w:rFonts w:ascii="Arial" w:eastAsia="Times New Roman" w:hAnsi="Arial" w:cs="Arial"/>
          <w:sz w:val="24"/>
          <w:szCs w:val="24"/>
          <w:lang w:eastAsia="pt-PT"/>
        </w:rPr>
      </w:pPr>
      <w:r w:rsidRPr="00256C2D">
        <w:rPr>
          <w:rFonts w:ascii="Arial" w:eastAsia="Times New Roman" w:hAnsi="Arial" w:cs="Arial"/>
          <w:sz w:val="24"/>
          <w:szCs w:val="24"/>
          <w:lang w:eastAsia="pt-PT"/>
        </w:rPr>
        <w:t xml:space="preserve">Locações. </w:t>
      </w:r>
    </w:p>
    <w:p w:rsidR="00256C2D" w:rsidRPr="00256C2D" w:rsidRDefault="00256C2D" w:rsidP="00256C2D">
      <w:pPr>
        <w:spacing w:line="240" w:lineRule="auto"/>
        <w:rPr>
          <w:rFonts w:ascii="Arial" w:eastAsia="Times New Roman" w:hAnsi="Arial" w:cs="Arial"/>
          <w:sz w:val="24"/>
          <w:szCs w:val="24"/>
          <w:lang w:eastAsia="pt-PT"/>
        </w:rPr>
      </w:pPr>
      <w:r w:rsidRPr="00256C2D">
        <w:rPr>
          <w:rFonts w:ascii="Arial" w:eastAsia="Times New Roman" w:hAnsi="Arial" w:cs="Arial"/>
          <w:sz w:val="24"/>
          <w:szCs w:val="24"/>
          <w:lang w:eastAsia="pt-PT"/>
        </w:rPr>
        <w:t>Muitos destes aspectos estão longe de estar claros na mente de empresários e profissionais da área da contabilidade. Na nossa opinião, a implementação do sistema de normalização contabilística irá obrigar a um esforço considerável de mudança e adaptação de rotinas, práticas e sistemas. Essa mudança irá conduzir a uma maior transparência das contas das empresas e, ao mesmo tempo, a uma melhor comparabilidade das demonstrações financeiras das empresas portuguesas com as de outros países europeus. Por isso, a mudança é bem-vinda!</w:t>
      </w:r>
    </w:p>
    <w:p w:rsidR="00256C2D" w:rsidRPr="00256C2D" w:rsidRDefault="00256C2D" w:rsidP="0028710B">
      <w:pPr>
        <w:spacing w:before="115" w:line="264" w:lineRule="auto"/>
        <w:outlineLvl w:val="2"/>
        <w:rPr>
          <w:rFonts w:ascii="Georgia" w:eastAsia="Times New Roman" w:hAnsi="Georgia" w:cs="Arial"/>
          <w:color w:val="FF0000"/>
          <w:spacing w:val="-12"/>
          <w:sz w:val="42"/>
          <w:szCs w:val="42"/>
          <w:lang w:eastAsia="pt-PT"/>
        </w:rPr>
      </w:pPr>
    </w:p>
    <w:p w:rsidR="0028710B" w:rsidRDefault="0028710B" w:rsidP="0028710B">
      <w:pPr>
        <w:spacing w:before="115" w:line="264" w:lineRule="auto"/>
        <w:outlineLvl w:val="2"/>
        <w:rPr>
          <w:rFonts w:ascii="Georgia" w:eastAsia="Times New Roman" w:hAnsi="Georgia" w:cs="Arial"/>
          <w:color w:val="FF0000"/>
          <w:spacing w:val="-12"/>
          <w:sz w:val="42"/>
          <w:szCs w:val="42"/>
          <w:lang w:eastAsia="pt-PT"/>
        </w:rPr>
      </w:pPr>
    </w:p>
    <w:p w:rsidR="0028710B" w:rsidRPr="005F39C8" w:rsidRDefault="0028710B" w:rsidP="0028710B">
      <w:pPr>
        <w:spacing w:before="115" w:line="264" w:lineRule="auto"/>
        <w:outlineLvl w:val="2"/>
        <w:rPr>
          <w:rFonts w:ascii="Georgia" w:eastAsia="Times New Roman" w:hAnsi="Georgia" w:cs="Arial"/>
          <w:color w:val="FF0000"/>
          <w:spacing w:val="-12"/>
          <w:sz w:val="36"/>
          <w:szCs w:val="42"/>
          <w:lang w:eastAsia="pt-PT"/>
        </w:rPr>
      </w:pPr>
      <w:bookmarkStart w:id="3" w:name="_Toc290996378"/>
      <w:r w:rsidRPr="005F39C8">
        <w:rPr>
          <w:rFonts w:ascii="Georgia" w:eastAsia="Times New Roman" w:hAnsi="Georgia" w:cs="Arial"/>
          <w:color w:val="FF0000"/>
          <w:spacing w:val="-12"/>
          <w:sz w:val="36"/>
          <w:szCs w:val="42"/>
          <w:lang w:eastAsia="pt-PT"/>
        </w:rPr>
        <w:lastRenderedPageBreak/>
        <w:t>O “</w:t>
      </w:r>
      <w:proofErr w:type="spellStart"/>
      <w:r w:rsidRPr="005F39C8">
        <w:rPr>
          <w:rFonts w:ascii="Georgia" w:eastAsia="Times New Roman" w:hAnsi="Georgia" w:cs="Arial"/>
          <w:color w:val="FF0000"/>
          <w:spacing w:val="-12"/>
          <w:sz w:val="36"/>
          <w:szCs w:val="42"/>
          <w:lang w:eastAsia="pt-PT"/>
        </w:rPr>
        <w:t>International</w:t>
      </w:r>
      <w:proofErr w:type="spellEnd"/>
      <w:r w:rsidRPr="005F39C8">
        <w:rPr>
          <w:rFonts w:ascii="Georgia" w:eastAsia="Times New Roman" w:hAnsi="Georgia" w:cs="Arial"/>
          <w:color w:val="FF0000"/>
          <w:spacing w:val="-12"/>
          <w:sz w:val="36"/>
          <w:szCs w:val="42"/>
          <w:lang w:eastAsia="pt-PT"/>
        </w:rPr>
        <w:t xml:space="preserve"> </w:t>
      </w:r>
      <w:proofErr w:type="spellStart"/>
      <w:r w:rsidRPr="005F39C8">
        <w:rPr>
          <w:rFonts w:ascii="Georgia" w:eastAsia="Times New Roman" w:hAnsi="Georgia" w:cs="Arial"/>
          <w:color w:val="FF0000"/>
          <w:spacing w:val="-12"/>
          <w:sz w:val="36"/>
          <w:szCs w:val="42"/>
          <w:lang w:eastAsia="pt-PT"/>
        </w:rPr>
        <w:t>Accounting</w:t>
      </w:r>
      <w:proofErr w:type="spellEnd"/>
      <w:r w:rsidRPr="005F39C8">
        <w:rPr>
          <w:rFonts w:ascii="Georgia" w:eastAsia="Times New Roman" w:hAnsi="Georgia" w:cs="Arial"/>
          <w:color w:val="FF0000"/>
          <w:spacing w:val="-12"/>
          <w:sz w:val="36"/>
          <w:szCs w:val="42"/>
          <w:lang w:eastAsia="pt-PT"/>
        </w:rPr>
        <w:t xml:space="preserve"> Standards </w:t>
      </w:r>
      <w:proofErr w:type="spellStart"/>
      <w:r w:rsidRPr="005F39C8">
        <w:rPr>
          <w:rFonts w:ascii="Georgia" w:eastAsia="Times New Roman" w:hAnsi="Georgia" w:cs="Arial"/>
          <w:color w:val="FF0000"/>
          <w:spacing w:val="-12"/>
          <w:sz w:val="36"/>
          <w:szCs w:val="42"/>
          <w:lang w:eastAsia="pt-PT"/>
        </w:rPr>
        <w:t>Board</w:t>
      </w:r>
      <w:proofErr w:type="spellEnd"/>
      <w:r w:rsidRPr="005F39C8">
        <w:rPr>
          <w:rFonts w:ascii="Georgia" w:eastAsia="Times New Roman" w:hAnsi="Georgia" w:cs="Arial"/>
          <w:color w:val="FF0000"/>
          <w:spacing w:val="-12"/>
          <w:sz w:val="36"/>
          <w:szCs w:val="42"/>
          <w:lang w:eastAsia="pt-PT"/>
        </w:rPr>
        <w:t>” (IASB) e as Normas Internacionais de Contabilidade (NIC)</w:t>
      </w:r>
      <w:bookmarkEnd w:id="3"/>
      <w:r w:rsidRPr="005F39C8">
        <w:rPr>
          <w:rFonts w:ascii="Georgia" w:eastAsia="Times New Roman" w:hAnsi="Georgia" w:cs="Arial"/>
          <w:color w:val="FF0000"/>
          <w:spacing w:val="-12"/>
          <w:sz w:val="36"/>
          <w:szCs w:val="42"/>
          <w:lang w:eastAsia="pt-PT"/>
        </w:rPr>
        <w:t xml:space="preserve"> </w:t>
      </w:r>
    </w:p>
    <w:p w:rsidR="0028710B" w:rsidRPr="0028710B" w:rsidRDefault="0028710B" w:rsidP="0028710B">
      <w:pPr>
        <w:spacing w:after="0" w:line="276" w:lineRule="atLeast"/>
        <w:jc w:val="both"/>
        <w:rPr>
          <w:rFonts w:ascii="Arial" w:eastAsia="Times New Roman" w:hAnsi="Arial" w:cs="Arial"/>
          <w:b/>
          <w:bCs/>
          <w:color w:val="444444"/>
          <w:sz w:val="21"/>
          <w:szCs w:val="21"/>
          <w:lang w:eastAsia="pt-PT"/>
        </w:rPr>
      </w:pPr>
      <w:r w:rsidRPr="0028710B">
        <w:rPr>
          <w:rFonts w:ascii="Arial" w:eastAsia="Times New Roman" w:hAnsi="Arial" w:cs="Arial"/>
          <w:b/>
          <w:bCs/>
          <w:color w:val="444444"/>
          <w:sz w:val="21"/>
          <w:szCs w:val="21"/>
          <w:lang w:eastAsia="pt-PT"/>
        </w:rPr>
        <w:t>As preocupações da harmonização ultrapassaram as fronteiras dos países e a globalização tornou-se uma realidade, alargando as fronteiras físicas. É neste contexto que surge a maior procura de uniformidade de comportamentos e procedimentos contabilísticos na estrutura do relato financeiro, visível na produção de normas de contabilidade com âmbito internacional.</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O IASB e as NIC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IASB é o organismo de referência na produção de normas internacionais de contabilidade - as "</w:t>
      </w:r>
      <w:proofErr w:type="spellStart"/>
      <w:r w:rsidRPr="0028710B">
        <w:rPr>
          <w:rFonts w:ascii="Arial" w:eastAsia="Times New Roman" w:hAnsi="Arial" w:cs="Arial"/>
          <w:sz w:val="24"/>
          <w:szCs w:val="24"/>
          <w:lang w:eastAsia="pt-PT"/>
        </w:rPr>
        <w:t>International</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Accounting</w:t>
      </w:r>
      <w:proofErr w:type="spellEnd"/>
      <w:r w:rsidRPr="0028710B">
        <w:rPr>
          <w:rFonts w:ascii="Arial" w:eastAsia="Times New Roman" w:hAnsi="Arial" w:cs="Arial"/>
          <w:sz w:val="24"/>
          <w:szCs w:val="24"/>
          <w:lang w:eastAsia="pt-PT"/>
        </w:rPr>
        <w:t xml:space="preserve"> Standards" (IAS) e as "</w:t>
      </w:r>
      <w:proofErr w:type="spellStart"/>
      <w:r w:rsidRPr="0028710B">
        <w:rPr>
          <w:rFonts w:ascii="Arial" w:eastAsia="Times New Roman" w:hAnsi="Arial" w:cs="Arial"/>
          <w:sz w:val="24"/>
          <w:szCs w:val="24"/>
          <w:lang w:eastAsia="pt-PT"/>
        </w:rPr>
        <w:t>International</w:t>
      </w:r>
      <w:proofErr w:type="spellEnd"/>
      <w:r w:rsidRPr="0028710B">
        <w:rPr>
          <w:rFonts w:ascii="Arial" w:eastAsia="Times New Roman" w:hAnsi="Arial" w:cs="Arial"/>
          <w:sz w:val="24"/>
          <w:szCs w:val="24"/>
          <w:lang w:eastAsia="pt-PT"/>
        </w:rPr>
        <w:t xml:space="preserve"> Financial </w:t>
      </w:r>
      <w:proofErr w:type="spellStart"/>
      <w:r w:rsidRPr="0028710B">
        <w:rPr>
          <w:rFonts w:ascii="Arial" w:eastAsia="Times New Roman" w:hAnsi="Arial" w:cs="Arial"/>
          <w:sz w:val="24"/>
          <w:szCs w:val="24"/>
          <w:lang w:eastAsia="pt-PT"/>
        </w:rPr>
        <w:t>Reporting</w:t>
      </w:r>
      <w:proofErr w:type="spellEnd"/>
      <w:r w:rsidRPr="0028710B">
        <w:rPr>
          <w:rFonts w:ascii="Arial" w:eastAsia="Times New Roman" w:hAnsi="Arial" w:cs="Arial"/>
          <w:sz w:val="24"/>
          <w:szCs w:val="24"/>
          <w:lang w:eastAsia="pt-PT"/>
        </w:rPr>
        <w:t xml:space="preserve"> Standards" (IFRS).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Fundado em 1973 por nove países - Austrália, Canadá, França, Alemanha, Japão, México, Holanda, Reino Unido e Irlanda - e com sede em Londres, tem actualmente mais de 140 membros (em mais de 100 países) e catorze membros com poder de decisão sobre as normas contabilísticas (responsabilidade exclusiva de estabelecer as NIC).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A forma como o IASB surgiu, se desenvolveu e se transformou ao longo da sua história, fê-lo conquistar o reconhecimento mundial como organismo privado emissor de normas contabilísticas de elevada qualidade.</w:t>
      </w:r>
      <w:r w:rsidRPr="0028710B">
        <w:rPr>
          <w:rFonts w:ascii="Arial" w:eastAsia="Times New Roman" w:hAnsi="Arial" w:cs="Arial"/>
          <w:sz w:val="24"/>
          <w:szCs w:val="24"/>
          <w:lang w:eastAsia="pt-PT"/>
        </w:rPr>
        <w:br/>
        <w:t>O processo de aproximação da União Europeia ao IASB está relacionado com essa evolução na harmonização contabilística internacional.</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Objectivos, filosofia e etapas do IASB</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Os objectivos do IASB centram-se fundamentalmente:</w:t>
      </w:r>
    </w:p>
    <w:p w:rsidR="0028710B" w:rsidRPr="0028710B" w:rsidRDefault="0028710B" w:rsidP="0028710B">
      <w:pPr>
        <w:numPr>
          <w:ilvl w:val="0"/>
          <w:numId w:val="86"/>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No desenvolvimento, no interesse público, de um conjunto único de normas contabilísticas globais de alta qualidade, compreensíveis e susceptíveis de serem impostas, que exijam informação transparente e comparável nas demonstrações financeiras, para ajudar os participantes nos mercados de capitais e outros utentes a tomarem decisões económicas; </w:t>
      </w:r>
    </w:p>
    <w:p w:rsidR="0028710B" w:rsidRPr="0028710B" w:rsidRDefault="0028710B" w:rsidP="0028710B">
      <w:pPr>
        <w:numPr>
          <w:ilvl w:val="0"/>
          <w:numId w:val="86"/>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Na promoção do uso e rigorosa aplicação das normas; </w:t>
      </w:r>
    </w:p>
    <w:p w:rsidR="0028710B" w:rsidRPr="0028710B" w:rsidRDefault="0028710B" w:rsidP="0028710B">
      <w:pPr>
        <w:numPr>
          <w:ilvl w:val="0"/>
          <w:numId w:val="86"/>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Na convergência de normas contabilísticas nacionais e internacionais, com vista à concretização da normalização contabilística. </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A sua filosofia de trabalho tem por base normas "</w:t>
      </w:r>
      <w:proofErr w:type="spellStart"/>
      <w:r w:rsidRPr="0028710B">
        <w:rPr>
          <w:rFonts w:ascii="Arial" w:eastAsia="Times New Roman" w:hAnsi="Arial" w:cs="Arial"/>
          <w:sz w:val="24"/>
          <w:szCs w:val="24"/>
          <w:lang w:eastAsia="pt-PT"/>
        </w:rPr>
        <w:t>principles</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based</w:t>
      </w:r>
      <w:proofErr w:type="spellEnd"/>
      <w:r w:rsidRPr="0028710B">
        <w:rPr>
          <w:rFonts w:ascii="Arial" w:eastAsia="Times New Roman" w:hAnsi="Arial" w:cs="Arial"/>
          <w:sz w:val="24"/>
          <w:szCs w:val="24"/>
          <w:lang w:eastAsia="pt-PT"/>
        </w:rPr>
        <w:t>" - normas baseadas em princípios e não em regras -, "</w:t>
      </w:r>
      <w:proofErr w:type="spellStart"/>
      <w:r w:rsidRPr="0028710B">
        <w:rPr>
          <w:rFonts w:ascii="Arial" w:eastAsia="Times New Roman" w:hAnsi="Arial" w:cs="Arial"/>
          <w:sz w:val="24"/>
          <w:szCs w:val="24"/>
          <w:lang w:eastAsia="pt-PT"/>
        </w:rPr>
        <w:t>disclosure</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oriented</w:t>
      </w:r>
      <w:proofErr w:type="spellEnd"/>
      <w:r w:rsidRPr="0028710B">
        <w:rPr>
          <w:rFonts w:ascii="Arial" w:eastAsia="Times New Roman" w:hAnsi="Arial" w:cs="Arial"/>
          <w:sz w:val="24"/>
          <w:szCs w:val="24"/>
          <w:lang w:eastAsia="pt-PT"/>
        </w:rPr>
        <w:t xml:space="preserve">" - ênfase na informação em anexo para simplificar os mapas principais - e "capital </w:t>
      </w:r>
      <w:proofErr w:type="spellStart"/>
      <w:r w:rsidRPr="0028710B">
        <w:rPr>
          <w:rFonts w:ascii="Arial" w:eastAsia="Times New Roman" w:hAnsi="Arial" w:cs="Arial"/>
          <w:sz w:val="24"/>
          <w:szCs w:val="24"/>
          <w:lang w:eastAsia="pt-PT"/>
        </w:rPr>
        <w:t>market</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oriented</w:t>
      </w:r>
      <w:proofErr w:type="spellEnd"/>
      <w:r w:rsidRPr="0028710B">
        <w:rPr>
          <w:rFonts w:ascii="Arial" w:eastAsia="Times New Roman" w:hAnsi="Arial" w:cs="Arial"/>
          <w:sz w:val="24"/>
          <w:szCs w:val="24"/>
          <w:lang w:eastAsia="pt-PT"/>
        </w:rPr>
        <w:t>" - normas orientadas para o mercado de capitais ("desenhadas" para empresas cotadas e de grande dimensão).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Assenta ainda no princípio da substância sobre a forma - o que releva não é a forma legal, mas sim a substância económica das operações/transacções -, numa perspectiva </w:t>
      </w:r>
      <w:proofErr w:type="spellStart"/>
      <w:r w:rsidRPr="0028710B">
        <w:rPr>
          <w:rFonts w:ascii="Arial" w:eastAsia="Times New Roman" w:hAnsi="Arial" w:cs="Arial"/>
          <w:sz w:val="24"/>
          <w:szCs w:val="24"/>
          <w:lang w:eastAsia="pt-PT"/>
        </w:rPr>
        <w:t>patrimonialista</w:t>
      </w:r>
      <w:proofErr w:type="spellEnd"/>
      <w:r w:rsidRPr="0028710B">
        <w:rPr>
          <w:rFonts w:ascii="Arial" w:eastAsia="Times New Roman" w:hAnsi="Arial" w:cs="Arial"/>
          <w:sz w:val="24"/>
          <w:szCs w:val="24"/>
          <w:lang w:eastAsia="pt-PT"/>
        </w:rPr>
        <w:t xml:space="preserve"> - maior preocupação com a posição financeira do que com o desempenho - e na flexibilidade na apresentação - não existem códigos de contas e os mapas devem conter apenas a informação mínima essencial.</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lastRenderedPageBreak/>
        <w:t>Alguns autores dividem a evolução do IASB em três etapas.</w:t>
      </w:r>
      <w:r w:rsidRPr="0028710B">
        <w:rPr>
          <w:rFonts w:ascii="Arial" w:eastAsia="Times New Roman" w:hAnsi="Arial" w:cs="Arial"/>
          <w:sz w:val="24"/>
          <w:szCs w:val="24"/>
          <w:lang w:eastAsia="pt-PT"/>
        </w:rPr>
        <w:br/>
        <w:t>A primeira, compreendida entre a sua data de criação (1973) e o ano de 1987, caracteriza-se pela emissão de normas com elevada opcionalidade, tendo gerado fortes críticas no panorama contabilístico internacional - é o chamado período "adormecido".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Na segunda etapa, que decorreu de 1988 a 1994, procurou melhorar a comparabilidade universal das demonstrações financeiras através da redução dos critérios alternativos que as suas normas continham e do estabelecimento de um critério preferencial.</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Por fim, a terceira fase (com início em 1995) compreende os esforços actualmente desenvolvidos, especificamente com o acordo levado a cabo com a "</w:t>
      </w:r>
      <w:proofErr w:type="spellStart"/>
      <w:r w:rsidRPr="0028710B">
        <w:rPr>
          <w:rFonts w:ascii="Arial" w:eastAsia="Times New Roman" w:hAnsi="Arial" w:cs="Arial"/>
          <w:sz w:val="24"/>
          <w:szCs w:val="24"/>
          <w:lang w:eastAsia="pt-PT"/>
        </w:rPr>
        <w:t>International</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Organization</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of</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Securities</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Commissions</w:t>
      </w:r>
      <w:proofErr w:type="spellEnd"/>
      <w:r w:rsidRPr="0028710B">
        <w:rPr>
          <w:rFonts w:ascii="Arial" w:eastAsia="Times New Roman" w:hAnsi="Arial" w:cs="Arial"/>
          <w:sz w:val="24"/>
          <w:szCs w:val="24"/>
          <w:lang w:eastAsia="pt-PT"/>
        </w:rPr>
        <w:t>" (IOSCO) - Organização Internacional das Comissões de Valores -, em que o IASB se comprometeu a completar um núcleo de normas consistentes e de elevada qualidade.</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As NIC na União Europeia e em Portugal</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Na sequência do longo percurso empreendido pelos intervenientes no domínio da harmonização contabilística global, surgiu naturalmente uma colaboração mais estreita entre a União Europeia e o IASB.</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Nesse contexto, insere-se como alteração de forte impacto a introdução do Regulamento 1606/2002, que estipula, para empresas cotadas, a obrigatoriedade de prepararem as suas demonstrações financeiras de acordo com as IAS/IFRS.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Tal imposição pretende garantir a eliminação de incoerências que pudessem persistir entre os normativos vigentes nos diferentes países da União e o normativo internacional (referencial do IASB).</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Decreto-Lei 35/2005, de 17 de Fevereiro, transpôs para a ordem jurídica interna portuguesa a alteração das Directivas Comunitárias.</w:t>
      </w:r>
      <w:r w:rsidRPr="0028710B">
        <w:rPr>
          <w:rFonts w:ascii="Arial" w:eastAsia="Times New Roman" w:hAnsi="Arial" w:cs="Arial"/>
          <w:sz w:val="24"/>
          <w:szCs w:val="24"/>
          <w:lang w:eastAsia="pt-PT"/>
        </w:rPr>
        <w:br/>
        <w:t>Este documento obriga à utilização das IAS/IFRS nas demonstrações financeiras consolidadas de empresas com valores cotados e dispensa-as da elaboração das mesmas tendo por base o Plano Oficial de Contabilidade (POC).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De igual modo, dá opção de produção das demonstrações financeiras consolidadas pelas IAS/IFRS às restantes empresas, e das demonstrações financeiras individuais pelas IAS/IFRS às empresas que elaborem as consolidadas com base nas IAS/IFRS, desde que em ambos os casos as mesmas sejam objecto de Certificação Legal de Contas.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Quanto aos efeitos fiscais, impõe que as entidades que desenvolvam demonstrações financeiras individuais pelas NIC mantenham a contabilidade organizada de acordo com a normalização contabilística em vigor para o respectivo sector de actividade.</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 adopção das normas internacionais nas empresas portuguesas revelou ser bastante complexa, com os seus efeitos mais comuns - ao nível dos activos intangíveis, nomeadamente das despesas de investigação e desenvolvimento que perdem o seu carácter de activo para passarem a gasto do exercício em que são </w:t>
      </w:r>
      <w:proofErr w:type="gramStart"/>
      <w:r w:rsidRPr="0028710B">
        <w:rPr>
          <w:rFonts w:ascii="Arial" w:eastAsia="Times New Roman" w:hAnsi="Arial" w:cs="Arial"/>
          <w:sz w:val="24"/>
          <w:szCs w:val="24"/>
          <w:lang w:eastAsia="pt-PT"/>
        </w:rPr>
        <w:t>incorridas</w:t>
      </w:r>
      <w:proofErr w:type="gramEnd"/>
      <w:r w:rsidRPr="0028710B">
        <w:rPr>
          <w:rFonts w:ascii="Arial" w:eastAsia="Times New Roman" w:hAnsi="Arial" w:cs="Arial"/>
          <w:sz w:val="24"/>
          <w:szCs w:val="24"/>
          <w:lang w:eastAsia="pt-PT"/>
        </w:rPr>
        <w:t xml:space="preserve"> (regra geral), dos instrumentos financeiros, das </w:t>
      </w:r>
      <w:r w:rsidRPr="0028710B">
        <w:rPr>
          <w:rFonts w:ascii="Arial" w:eastAsia="Times New Roman" w:hAnsi="Arial" w:cs="Arial"/>
          <w:sz w:val="24"/>
          <w:szCs w:val="24"/>
          <w:lang w:eastAsia="pt-PT"/>
        </w:rPr>
        <w:lastRenderedPageBreak/>
        <w:t>propriedades de investimento, das classificações de resultados (desaparece o cálculo dos resultados extraordinários, por exemplo), entre outros - a causarem o "pânico" em entidades conceituadas na praça empresarial portuguesa.</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Para além disso, a esmagadora maioria das empresas portuguesas são de pequena dimensão, suscitando um problema substancial ao qual a Comissão de Normalização Contabilística (CNC) procurou dar um tratamento diferenciado, embora suportado na mesma base conceptual - o Sistema de Normalização Contabilística (SNC).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Assim, ter-se-á para as micro e pequenas empresas um modelo contabilístico de aplicação mais simples e objectiva, mas que encaixará nas bases de referência do normativo do IASB, paralelamente ao arquétipo das normas internacionais emitidas pelo mesmo organismo adoptadas nas condições supramencionadas.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Desafios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A qualidade do relato financeiro depende do modo como as normas são aplicadas e do seu "</w:t>
      </w:r>
      <w:proofErr w:type="spellStart"/>
      <w:r w:rsidRPr="0028710B">
        <w:rPr>
          <w:rFonts w:ascii="Arial" w:eastAsia="Times New Roman" w:hAnsi="Arial" w:cs="Arial"/>
          <w:sz w:val="24"/>
          <w:szCs w:val="24"/>
          <w:lang w:eastAsia="pt-PT"/>
        </w:rPr>
        <w:t>enforcement</w:t>
      </w:r>
      <w:proofErr w:type="spellEnd"/>
      <w:r w:rsidRPr="0028710B">
        <w:rPr>
          <w:rFonts w:ascii="Arial" w:eastAsia="Times New Roman" w:hAnsi="Arial" w:cs="Arial"/>
          <w:sz w:val="24"/>
          <w:szCs w:val="24"/>
          <w:lang w:eastAsia="pt-PT"/>
        </w:rPr>
        <w:t>" por mecanismos e organismos internacionais.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Coloca-se a questão de saber se o poder adquirido pela União Europeia ao impor às suas empresas cotadas a adopção das normas internacionais de contabilidade, a partir de 2005, vai ser suficiente para contrabalançar a influência dos Estados Unidos ou se serão uma cópia exacta das desse influente país.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E, mais ainda, será que as empresas nacionais (independentemente da sua dimensão) estarão à altura da mudança dos seus sistemas contabilísticos?</w:t>
      </w:r>
    </w:p>
    <w:p w:rsidR="0028710B" w:rsidRDefault="0028710B" w:rsidP="0028710B">
      <w:pPr>
        <w:spacing w:before="58"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Esqueçamos (pelo menos nesta época de transição) as questões e acreditemos na qualidade do capital humano que povoa a União e particularmente o nosso país!</w:t>
      </w:r>
    </w:p>
    <w:p w:rsidR="005F39C8" w:rsidRPr="0028710B" w:rsidRDefault="005F39C8" w:rsidP="0028710B">
      <w:pPr>
        <w:spacing w:before="58" w:line="240" w:lineRule="auto"/>
        <w:jc w:val="both"/>
        <w:rPr>
          <w:rFonts w:ascii="Arial" w:eastAsia="Times New Roman" w:hAnsi="Arial" w:cs="Arial"/>
          <w:sz w:val="24"/>
          <w:szCs w:val="24"/>
          <w:lang w:eastAsia="pt-PT"/>
        </w:rPr>
      </w:pPr>
    </w:p>
    <w:p w:rsidR="0028710B" w:rsidRPr="005F39C8" w:rsidRDefault="0028710B" w:rsidP="0028710B">
      <w:pPr>
        <w:spacing w:before="115" w:line="264" w:lineRule="auto"/>
        <w:outlineLvl w:val="2"/>
        <w:rPr>
          <w:rFonts w:ascii="Georgia" w:eastAsia="Times New Roman" w:hAnsi="Georgia" w:cs="Arial"/>
          <w:color w:val="FF0000"/>
          <w:spacing w:val="-12"/>
          <w:sz w:val="40"/>
          <w:szCs w:val="42"/>
          <w:lang w:eastAsia="pt-PT"/>
        </w:rPr>
      </w:pPr>
      <w:bookmarkStart w:id="4" w:name="_Toc290996379"/>
      <w:r w:rsidRPr="0028710B">
        <w:rPr>
          <w:rFonts w:ascii="Georgia" w:eastAsia="Times New Roman" w:hAnsi="Georgia" w:cs="Arial"/>
          <w:color w:val="FF0000"/>
          <w:spacing w:val="-12"/>
          <w:sz w:val="40"/>
          <w:szCs w:val="42"/>
          <w:lang w:eastAsia="pt-PT"/>
        </w:rPr>
        <w:t>Nomenclatura decorrente da entrada em vigor do Sistema de No</w:t>
      </w:r>
      <w:r w:rsidR="005F39C8" w:rsidRPr="005F39C8">
        <w:rPr>
          <w:rFonts w:ascii="Georgia" w:eastAsia="Times New Roman" w:hAnsi="Georgia" w:cs="Arial"/>
          <w:color w:val="FF0000"/>
          <w:spacing w:val="-12"/>
          <w:sz w:val="40"/>
          <w:szCs w:val="42"/>
          <w:lang w:eastAsia="pt-PT"/>
        </w:rPr>
        <w:t>r</w:t>
      </w:r>
      <w:r w:rsidRPr="0028710B">
        <w:rPr>
          <w:rFonts w:ascii="Georgia" w:eastAsia="Times New Roman" w:hAnsi="Georgia" w:cs="Arial"/>
          <w:color w:val="FF0000"/>
          <w:spacing w:val="-12"/>
          <w:sz w:val="40"/>
          <w:szCs w:val="42"/>
          <w:lang w:eastAsia="pt-PT"/>
        </w:rPr>
        <w:t>malização Contabilística (SNC)</w:t>
      </w:r>
      <w:bookmarkEnd w:id="4"/>
      <w:r w:rsidRPr="0028710B">
        <w:rPr>
          <w:rFonts w:ascii="Georgia" w:eastAsia="Times New Roman" w:hAnsi="Georgia" w:cs="Arial"/>
          <w:color w:val="FF0000"/>
          <w:spacing w:val="-12"/>
          <w:sz w:val="40"/>
          <w:szCs w:val="42"/>
          <w:lang w:eastAsia="pt-PT"/>
        </w:rPr>
        <w:t xml:space="preserve"> </w:t>
      </w:r>
    </w:p>
    <w:p w:rsidR="0028710B" w:rsidRPr="0028710B" w:rsidRDefault="0028710B" w:rsidP="0028710B">
      <w:pPr>
        <w:spacing w:after="0" w:line="276" w:lineRule="atLeast"/>
        <w:jc w:val="both"/>
        <w:rPr>
          <w:rFonts w:ascii="Arial" w:eastAsia="Times New Roman" w:hAnsi="Arial" w:cs="Arial"/>
          <w:b/>
          <w:bCs/>
          <w:color w:val="444444"/>
          <w:sz w:val="21"/>
          <w:szCs w:val="21"/>
          <w:lang w:eastAsia="pt-PT"/>
        </w:rPr>
      </w:pPr>
      <w:r w:rsidRPr="0028710B">
        <w:rPr>
          <w:rFonts w:ascii="Arial" w:eastAsia="Times New Roman" w:hAnsi="Arial" w:cs="Arial"/>
          <w:b/>
          <w:bCs/>
          <w:color w:val="444444"/>
          <w:sz w:val="21"/>
          <w:szCs w:val="21"/>
          <w:lang w:eastAsia="pt-PT"/>
        </w:rPr>
        <w:t>A entrada em vigor do SNC veio impor aos utentes das informações contabilísticas a necessidade de se adaptarem à nova nomenclatura. Neste artigo fazemos uma breve síntese e comentários ao D.L. 159/2009 de 13 de Julho, que aborda as questões relacionadas com a entrada em vigor do SNC.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diploma no seu preâmbulo alude ao Regulamento CE nº 1606/2002 do Parlamento Europeu e do Conselho de 19 de Julho, ao D.L 35/2005, de 17 de Fevereiro que consagrava a possibilidade de adopção das Normas Internacionais de Contabilidade (NIC) e ao D.L. 158/2009 de aprovação do Sistema Nacional de Contabilidade (SNC).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Sistema versus Plano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lastRenderedPageBreak/>
        <w:t>Sistema é um conjunto de métodos ou processos destinados à obtenção de determinado fim. Congrega assim princípios técnicos doutrinários que após devidamente instruídos produzem documentos finais para análise e estudo.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Os princípios são as Normas Internacionais de Contabilidade, instruídos através da classificação adequada segundo o código das Contas (CC), que após contabilizados determinam os Modelos de Demonstrações Financeiras (MDF), composta pelo balanços, pelas de resultados, das alterações no capital próprio, dos fluxos de caixa e um anexo justificativo das políticas seguidas de acordo com as Normas Contabilísticas de Relato Financeiro (NCRF).</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Plano Oficial de Contabilidade (POC) que agora o SNC revogou partia de conceitos muito diferentes dos actuais. O ambiente económico e social era muito diferente do actual, o clima empresarial era mais estável e os "</w:t>
      </w:r>
      <w:proofErr w:type="spellStart"/>
      <w:r w:rsidRPr="0028710B">
        <w:rPr>
          <w:rFonts w:ascii="Arial" w:eastAsia="Times New Roman" w:hAnsi="Arial" w:cs="Arial"/>
          <w:sz w:val="24"/>
          <w:szCs w:val="24"/>
          <w:lang w:eastAsia="pt-PT"/>
        </w:rPr>
        <w:t>indíos</w:t>
      </w:r>
      <w:proofErr w:type="spellEnd"/>
      <w:r w:rsidRPr="0028710B">
        <w:rPr>
          <w:rFonts w:ascii="Arial" w:eastAsia="Times New Roman" w:hAnsi="Arial" w:cs="Arial"/>
          <w:sz w:val="24"/>
          <w:szCs w:val="24"/>
          <w:lang w:eastAsia="pt-PT"/>
        </w:rPr>
        <w:t xml:space="preserve"> confiavam nos chefes...", ou seja os quadros das empresas eram muito fiéis e não abdicavam do salário certo pela incerteza da aventura empresarial.</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Com a globalização, a abertura a novos conceitos empresariais e a facilidade de comunicação e de apresentação de produtos, a forma começou a superar a substância, daí os problemas que surgiram a nível das grandes empresas da área financeira.</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Por outro lado a apresentação dos modelos contabilísticos decorrentes do POC, durante muitos anos criado apenas com fins fiscais, passou a ser visto como uma ferramenta de grande importância na gestão.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Com a formação de novos técnicos nas áreas da contabilidade, gestão, auditoria e economia e finanças, verificou-se a importação de muitos dogmas saxónicos, via grandes empresas de auditoria com a introdução em uso das IAS (</w:t>
      </w:r>
      <w:proofErr w:type="spellStart"/>
      <w:r w:rsidRPr="0028710B">
        <w:rPr>
          <w:rFonts w:ascii="Arial" w:eastAsia="Times New Roman" w:hAnsi="Arial" w:cs="Arial"/>
          <w:sz w:val="24"/>
          <w:szCs w:val="24"/>
          <w:lang w:eastAsia="pt-PT"/>
        </w:rPr>
        <w:t>International</w:t>
      </w:r>
      <w:proofErr w:type="spellEnd"/>
      <w:r w:rsidRPr="0028710B">
        <w:rPr>
          <w:rFonts w:ascii="Arial" w:eastAsia="Times New Roman" w:hAnsi="Arial" w:cs="Arial"/>
          <w:sz w:val="24"/>
          <w:szCs w:val="24"/>
          <w:lang w:eastAsia="pt-PT"/>
        </w:rPr>
        <w:t xml:space="preserve"> </w:t>
      </w:r>
      <w:proofErr w:type="spellStart"/>
      <w:r w:rsidRPr="0028710B">
        <w:rPr>
          <w:rFonts w:ascii="Arial" w:eastAsia="Times New Roman" w:hAnsi="Arial" w:cs="Arial"/>
          <w:sz w:val="24"/>
          <w:szCs w:val="24"/>
          <w:lang w:eastAsia="pt-PT"/>
        </w:rPr>
        <w:t>Accounting</w:t>
      </w:r>
      <w:proofErr w:type="spellEnd"/>
      <w:r w:rsidRPr="0028710B">
        <w:rPr>
          <w:rFonts w:ascii="Arial" w:eastAsia="Times New Roman" w:hAnsi="Arial" w:cs="Arial"/>
          <w:sz w:val="24"/>
          <w:szCs w:val="24"/>
          <w:lang w:eastAsia="pt-PT"/>
        </w:rPr>
        <w:t xml:space="preserve"> Standards), "traduzidas" para as nacionais Normas Internacionais de Contabilidade, NIC e transformando a outrora contabilidade técnica pela ciência da contabilidade.</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passo agora dado, em certa medida na minha perspectiva visa transformar a arte da contabilidade numa ciência de conhecimento ou de saber...</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Em boa verdade anteriormente o protagonista era o Plano de contas, como código de contas e agora são algumas normas doutrinárias que estão ainda em fase de assimilação por parte de todos os técnicos nesta área de actividade.</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Assim, a mudança urgia, tanto mais que a forma de apresentação das contas passou a ser global em termos de balanço, no activo por ordem inversa de liquidez, mantendo-se as mesmas directrizes no capital e no Passivo pela ordem inversa de exigibilidade.</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Enquanto nos códigos de contas antigos se privilegiava a parte económica, com uma grande discriminação em termos de custos, agora a parte financeira é vista sob uma óptica mais analítica relevando aspectos mais ligados a empresas em que existem interesses maioritários ou não.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Enfim a evolução é mais importante no detalhe financeiro que no detalhe económico, mas vem demonstrar a necessidade de relevar aspectos que até aqui eram desprezados tanto pelos empresários, como pelos vários interessados na informação.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Foi dado um passo importante, mas só a prática virá a dar razão aos Defensores do SNC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lastRenderedPageBreak/>
        <w:t>Mudança de Critérios no tratamento da informação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contabilista tradicional está intimamente ligado à classificação de contas de forma rígida e à separação standard do Balanço e da Demonstração de resultados.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Também à manutenção dos custos históricos, salvo a existência de reavaliações.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Neste momento existe um risco para o apresentador das contas, relacionado com o justo valor dos bens e ou valores constantes do activo.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Assim, as imparidades, aproximações ao justo valor, definição de correntes e não correntes irão ter grande influência nas análises por parte dos utentes da informação.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É certo que a curto prazo o mercado dos utentes irá estabilizar, retirando o receio da subjectividade e definir critérios balizados objectivos de apresentação dos documentos.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A Nova terminologia a ter em consideração com o SNC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O </w:t>
      </w:r>
      <w:proofErr w:type="spellStart"/>
      <w:r w:rsidRPr="0028710B">
        <w:rPr>
          <w:rFonts w:ascii="Arial" w:eastAsia="Times New Roman" w:hAnsi="Arial" w:cs="Arial"/>
          <w:sz w:val="24"/>
          <w:szCs w:val="24"/>
          <w:lang w:eastAsia="pt-PT"/>
        </w:rPr>
        <w:t>Dec</w:t>
      </w:r>
      <w:proofErr w:type="spellEnd"/>
      <w:r w:rsidRPr="0028710B">
        <w:rPr>
          <w:rFonts w:ascii="Arial" w:eastAsia="Times New Roman" w:hAnsi="Arial" w:cs="Arial"/>
          <w:sz w:val="24"/>
          <w:szCs w:val="24"/>
          <w:lang w:eastAsia="pt-PT"/>
        </w:rPr>
        <w:t xml:space="preserve">. Lei 159/2009, de 13 de Julho, vem adaptar a terminologia do SNC à fiscal, no seu nº 2 do </w:t>
      </w:r>
      <w:proofErr w:type="spellStart"/>
      <w:r w:rsidRPr="0028710B">
        <w:rPr>
          <w:rFonts w:ascii="Arial" w:eastAsia="Times New Roman" w:hAnsi="Arial" w:cs="Arial"/>
          <w:sz w:val="24"/>
          <w:szCs w:val="24"/>
          <w:lang w:eastAsia="pt-PT"/>
        </w:rPr>
        <w:t>artº</w:t>
      </w:r>
      <w:proofErr w:type="spellEnd"/>
      <w:r w:rsidRPr="0028710B">
        <w:rPr>
          <w:rFonts w:ascii="Arial" w:eastAsia="Times New Roman" w:hAnsi="Arial" w:cs="Arial"/>
          <w:sz w:val="24"/>
          <w:szCs w:val="24"/>
          <w:lang w:eastAsia="pt-PT"/>
        </w:rPr>
        <w:t xml:space="preserve"> 8º, como segue:</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Assim refere que as existências passam a designar-se por inventários e activos biológicos. (na minha perspectiva existe um erro na redacção da alínea a) do nº2 do </w:t>
      </w:r>
      <w:proofErr w:type="spellStart"/>
      <w:r w:rsidRPr="0028710B">
        <w:rPr>
          <w:rFonts w:ascii="Arial" w:eastAsia="Times New Roman" w:hAnsi="Arial" w:cs="Arial"/>
          <w:sz w:val="24"/>
          <w:szCs w:val="24"/>
          <w:lang w:eastAsia="pt-PT"/>
        </w:rPr>
        <w:t>artº</w:t>
      </w:r>
      <w:proofErr w:type="spellEnd"/>
      <w:r w:rsidRPr="0028710B">
        <w:rPr>
          <w:rFonts w:ascii="Arial" w:eastAsia="Times New Roman" w:hAnsi="Arial" w:cs="Arial"/>
          <w:sz w:val="24"/>
          <w:szCs w:val="24"/>
          <w:lang w:eastAsia="pt-PT"/>
        </w:rPr>
        <w:t xml:space="preserve"> 8º do DL 159/2009 que refere " inventários" ou "activos biológicos", quando deveria mencionar inventários e activos biológicos).</w:t>
      </w:r>
    </w:p>
    <w:p w:rsidR="0028710B" w:rsidRPr="0028710B" w:rsidRDefault="0028710B" w:rsidP="0028710B">
      <w:pPr>
        <w:numPr>
          <w:ilvl w:val="0"/>
          <w:numId w:val="87"/>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O Imobilizado Incorpóreo</w:t>
      </w:r>
      <w:proofErr w:type="gramStart"/>
      <w:r w:rsidRPr="0028710B">
        <w:rPr>
          <w:rFonts w:ascii="Arial" w:eastAsia="Times New Roman" w:hAnsi="Arial" w:cs="Arial"/>
          <w:sz w:val="24"/>
          <w:szCs w:val="24"/>
          <w:lang w:eastAsia="pt-PT"/>
        </w:rPr>
        <w:t>,</w:t>
      </w:r>
      <w:proofErr w:type="gramEnd"/>
      <w:r w:rsidRPr="0028710B">
        <w:rPr>
          <w:rFonts w:ascii="Arial" w:eastAsia="Times New Roman" w:hAnsi="Arial" w:cs="Arial"/>
          <w:sz w:val="24"/>
          <w:szCs w:val="24"/>
          <w:lang w:eastAsia="pt-PT"/>
        </w:rPr>
        <w:t xml:space="preserve"> passa a activo intangível; </w:t>
      </w:r>
    </w:p>
    <w:p w:rsidR="0028710B" w:rsidRPr="0028710B" w:rsidRDefault="0028710B" w:rsidP="0028710B">
      <w:pPr>
        <w:numPr>
          <w:ilvl w:val="0"/>
          <w:numId w:val="87"/>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O Imobilizado Corpóreo passa a Activo fixo tangível; </w:t>
      </w:r>
    </w:p>
    <w:p w:rsidR="0028710B" w:rsidRPr="0028710B" w:rsidRDefault="0028710B" w:rsidP="0028710B">
      <w:pPr>
        <w:numPr>
          <w:ilvl w:val="0"/>
          <w:numId w:val="87"/>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As provisões são agora designadas por Ajustamentos; </w:t>
      </w:r>
    </w:p>
    <w:p w:rsidR="0028710B" w:rsidRPr="0028710B" w:rsidRDefault="0028710B" w:rsidP="0028710B">
      <w:pPr>
        <w:numPr>
          <w:ilvl w:val="0"/>
          <w:numId w:val="87"/>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As amortizações e reintegrações passam a depreciações e amortizações; </w:t>
      </w:r>
    </w:p>
    <w:p w:rsidR="0028710B" w:rsidRPr="0028710B" w:rsidRDefault="0028710B" w:rsidP="0028710B">
      <w:pPr>
        <w:numPr>
          <w:ilvl w:val="0"/>
          <w:numId w:val="87"/>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O conceito de custos e perdas passam a designar-se por gastos; </w:t>
      </w:r>
    </w:p>
    <w:p w:rsidR="0028710B" w:rsidRPr="0028710B" w:rsidRDefault="0028710B" w:rsidP="0028710B">
      <w:pPr>
        <w:numPr>
          <w:ilvl w:val="0"/>
          <w:numId w:val="87"/>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O conceito de proveitos e ganhos passam a designar-se rendimentos; </w:t>
      </w:r>
    </w:p>
    <w:p w:rsidR="0028710B" w:rsidRPr="0028710B" w:rsidRDefault="0028710B" w:rsidP="0028710B">
      <w:pPr>
        <w:numPr>
          <w:ilvl w:val="0"/>
          <w:numId w:val="87"/>
        </w:numPr>
        <w:spacing w:before="100" w:beforeAutospacing="1" w:after="100" w:afterAutospacing="1" w:line="240" w:lineRule="auto"/>
        <w:ind w:left="489"/>
        <w:rPr>
          <w:rFonts w:ascii="Arial" w:eastAsia="Times New Roman" w:hAnsi="Arial" w:cs="Arial"/>
          <w:sz w:val="24"/>
          <w:szCs w:val="24"/>
          <w:lang w:eastAsia="pt-PT"/>
        </w:rPr>
      </w:pPr>
      <w:r w:rsidRPr="0028710B">
        <w:rPr>
          <w:rFonts w:ascii="Arial" w:eastAsia="Times New Roman" w:hAnsi="Arial" w:cs="Arial"/>
          <w:sz w:val="24"/>
          <w:szCs w:val="24"/>
          <w:lang w:eastAsia="pt-PT"/>
        </w:rPr>
        <w:t>As reposições de provisões (activo)</w:t>
      </w:r>
      <w:proofErr w:type="gramStart"/>
      <w:r w:rsidRPr="0028710B">
        <w:rPr>
          <w:rFonts w:ascii="Arial" w:eastAsia="Times New Roman" w:hAnsi="Arial" w:cs="Arial"/>
          <w:sz w:val="24"/>
          <w:szCs w:val="24"/>
          <w:lang w:eastAsia="pt-PT"/>
        </w:rPr>
        <w:t>,</w:t>
      </w:r>
      <w:proofErr w:type="gramEnd"/>
      <w:r w:rsidRPr="0028710B">
        <w:rPr>
          <w:rFonts w:ascii="Arial" w:eastAsia="Times New Roman" w:hAnsi="Arial" w:cs="Arial"/>
          <w:sz w:val="24"/>
          <w:szCs w:val="24"/>
          <w:lang w:eastAsia="pt-PT"/>
        </w:rPr>
        <w:t xml:space="preserve"> passam a reversões de ajustamentos. </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Conclusão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Serve este artigo para apresentação "grosso modo" de algumas mudanças de terminologias a que os utentes se terão de adaptar.</w:t>
      </w:r>
    </w:p>
    <w:p w:rsidR="0028710B" w:rsidRDefault="0028710B" w:rsidP="0028710B">
      <w:pPr>
        <w:spacing w:before="58"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Nos próximos artigos irei fazer algumas considerações técnicas e críticas acerca de alguns destes itens, para que os utentes passem a entender a contabilidade como um instrumento necessário à gestão.</w:t>
      </w:r>
    </w:p>
    <w:p w:rsidR="005F39C8" w:rsidRPr="0028710B" w:rsidRDefault="005F39C8" w:rsidP="0028710B">
      <w:pPr>
        <w:spacing w:before="58" w:line="240" w:lineRule="auto"/>
        <w:jc w:val="both"/>
        <w:rPr>
          <w:rFonts w:ascii="Arial" w:eastAsia="Times New Roman" w:hAnsi="Arial" w:cs="Arial"/>
          <w:sz w:val="24"/>
          <w:szCs w:val="24"/>
          <w:lang w:eastAsia="pt-PT"/>
        </w:rPr>
      </w:pPr>
    </w:p>
    <w:p w:rsidR="0028710B" w:rsidRPr="005F39C8" w:rsidRDefault="0028710B" w:rsidP="0028710B">
      <w:pPr>
        <w:spacing w:before="115" w:line="264" w:lineRule="auto"/>
        <w:outlineLvl w:val="2"/>
        <w:rPr>
          <w:rFonts w:ascii="Georgia" w:eastAsia="Times New Roman" w:hAnsi="Georgia" w:cs="Arial"/>
          <w:color w:val="FF0000"/>
          <w:spacing w:val="-12"/>
          <w:sz w:val="12"/>
          <w:szCs w:val="14"/>
          <w:vertAlign w:val="superscript"/>
          <w:lang w:eastAsia="pt-PT"/>
        </w:rPr>
      </w:pPr>
      <w:bookmarkStart w:id="5" w:name="_Toc290996380"/>
      <w:r w:rsidRPr="0028710B">
        <w:rPr>
          <w:rFonts w:ascii="Georgia" w:eastAsia="Times New Roman" w:hAnsi="Georgia" w:cs="Arial"/>
          <w:color w:val="FF0000"/>
          <w:spacing w:val="-12"/>
          <w:sz w:val="40"/>
          <w:szCs w:val="42"/>
          <w:lang w:eastAsia="pt-PT"/>
        </w:rPr>
        <w:t>Preparado para o novo sistema de normalização contabilística?</w:t>
      </w:r>
      <w:bookmarkEnd w:id="5"/>
    </w:p>
    <w:p w:rsidR="0028710B" w:rsidRPr="0028710B" w:rsidRDefault="0028710B" w:rsidP="0028710B">
      <w:pPr>
        <w:spacing w:after="0" w:line="276" w:lineRule="atLeast"/>
        <w:jc w:val="both"/>
        <w:rPr>
          <w:rFonts w:ascii="Arial" w:eastAsia="Times New Roman" w:hAnsi="Arial" w:cs="Arial"/>
          <w:b/>
          <w:bCs/>
          <w:color w:val="444444"/>
          <w:sz w:val="21"/>
          <w:szCs w:val="21"/>
          <w:lang w:eastAsia="pt-PT"/>
        </w:rPr>
      </w:pPr>
      <w:r w:rsidRPr="0028710B">
        <w:rPr>
          <w:rFonts w:ascii="Arial" w:eastAsia="Times New Roman" w:hAnsi="Arial" w:cs="Arial"/>
          <w:b/>
          <w:bCs/>
          <w:color w:val="444444"/>
          <w:sz w:val="21"/>
          <w:szCs w:val="21"/>
          <w:lang w:eastAsia="pt-PT"/>
        </w:rPr>
        <w:t xml:space="preserve">Em 2010 entrou em vigor o novo Sistema de Normalização Contabilística (SNC), que substitui o "antigo" Plano Oficial de Contabilidade (POC), em vigor desde 1977. É </w:t>
      </w:r>
      <w:r w:rsidRPr="0028710B">
        <w:rPr>
          <w:rFonts w:ascii="Arial" w:eastAsia="Times New Roman" w:hAnsi="Arial" w:cs="Arial"/>
          <w:b/>
          <w:bCs/>
          <w:color w:val="444444"/>
          <w:sz w:val="21"/>
          <w:szCs w:val="21"/>
          <w:lang w:eastAsia="pt-PT"/>
        </w:rPr>
        <w:lastRenderedPageBreak/>
        <w:t xml:space="preserve">uma aproximação às Normas Internacionais de Contabilidade (NIC) emitidas pelo </w:t>
      </w:r>
      <w:proofErr w:type="spellStart"/>
      <w:r w:rsidRPr="0028710B">
        <w:rPr>
          <w:rFonts w:ascii="Arial" w:eastAsia="Times New Roman" w:hAnsi="Arial" w:cs="Arial"/>
          <w:b/>
          <w:bCs/>
          <w:color w:val="444444"/>
          <w:sz w:val="21"/>
          <w:szCs w:val="21"/>
          <w:lang w:eastAsia="pt-PT"/>
        </w:rPr>
        <w:t>International</w:t>
      </w:r>
      <w:proofErr w:type="spellEnd"/>
      <w:r w:rsidRPr="0028710B">
        <w:rPr>
          <w:rFonts w:ascii="Arial" w:eastAsia="Times New Roman" w:hAnsi="Arial" w:cs="Arial"/>
          <w:b/>
          <w:bCs/>
          <w:color w:val="444444"/>
          <w:sz w:val="21"/>
          <w:szCs w:val="21"/>
          <w:lang w:eastAsia="pt-PT"/>
        </w:rPr>
        <w:t xml:space="preserve"> </w:t>
      </w:r>
      <w:proofErr w:type="spellStart"/>
      <w:r w:rsidRPr="0028710B">
        <w:rPr>
          <w:rFonts w:ascii="Arial" w:eastAsia="Times New Roman" w:hAnsi="Arial" w:cs="Arial"/>
          <w:b/>
          <w:bCs/>
          <w:color w:val="444444"/>
          <w:sz w:val="21"/>
          <w:szCs w:val="21"/>
          <w:lang w:eastAsia="pt-PT"/>
        </w:rPr>
        <w:t>Accounting</w:t>
      </w:r>
      <w:proofErr w:type="spellEnd"/>
      <w:r w:rsidRPr="0028710B">
        <w:rPr>
          <w:rFonts w:ascii="Arial" w:eastAsia="Times New Roman" w:hAnsi="Arial" w:cs="Arial"/>
          <w:b/>
          <w:bCs/>
          <w:color w:val="444444"/>
          <w:sz w:val="21"/>
          <w:szCs w:val="21"/>
          <w:lang w:eastAsia="pt-PT"/>
        </w:rPr>
        <w:t xml:space="preserve"> Standards </w:t>
      </w:r>
      <w:proofErr w:type="spellStart"/>
      <w:r w:rsidRPr="0028710B">
        <w:rPr>
          <w:rFonts w:ascii="Arial" w:eastAsia="Times New Roman" w:hAnsi="Arial" w:cs="Arial"/>
          <w:b/>
          <w:bCs/>
          <w:color w:val="444444"/>
          <w:sz w:val="21"/>
          <w:szCs w:val="21"/>
          <w:lang w:eastAsia="pt-PT"/>
        </w:rPr>
        <w:t>Board</w:t>
      </w:r>
      <w:proofErr w:type="spellEnd"/>
      <w:r w:rsidRPr="0028710B">
        <w:rPr>
          <w:rFonts w:ascii="Arial" w:eastAsia="Times New Roman" w:hAnsi="Arial" w:cs="Arial"/>
          <w:b/>
          <w:bCs/>
          <w:color w:val="444444"/>
          <w:sz w:val="21"/>
          <w:szCs w:val="21"/>
          <w:lang w:eastAsia="pt-PT"/>
        </w:rPr>
        <w:t xml:space="preserve"> (IASB).</w:t>
      </w:r>
    </w:p>
    <w:p w:rsidR="0028710B" w:rsidRPr="0028710B" w:rsidRDefault="0028710B" w:rsidP="0028710B">
      <w:pPr>
        <w:spacing w:after="0" w:line="276" w:lineRule="atLeast"/>
        <w:jc w:val="both"/>
        <w:rPr>
          <w:rFonts w:ascii="Arial" w:eastAsia="Times New Roman" w:hAnsi="Arial" w:cs="Arial"/>
          <w:b/>
          <w:bCs/>
          <w:color w:val="444444"/>
          <w:sz w:val="21"/>
          <w:szCs w:val="21"/>
          <w:lang w:eastAsia="pt-PT"/>
        </w:rPr>
      </w:pPr>
      <w:r w:rsidRPr="0028710B">
        <w:rPr>
          <w:rFonts w:ascii="Arial" w:eastAsia="Times New Roman" w:hAnsi="Arial" w:cs="Arial"/>
          <w:b/>
          <w:bCs/>
          <w:color w:val="444444"/>
          <w:sz w:val="21"/>
          <w:szCs w:val="21"/>
          <w:lang w:eastAsia="pt-PT"/>
        </w:rPr>
        <w:t>Os objectivos do SNC passam sobretudo pelo suprimento das limitações do POC face a maiores exigências de reporte de informação financeira e pela necessidade de uma estrutura conceptual, que defina critérios fundamentais de regulação contabilística.</w:t>
      </w:r>
    </w:p>
    <w:p w:rsidR="0028710B" w:rsidRPr="0028710B" w:rsidRDefault="0028710B" w:rsidP="0028710B">
      <w:pPr>
        <w:spacing w:after="0" w:line="276" w:lineRule="atLeast"/>
        <w:jc w:val="both"/>
        <w:rPr>
          <w:rFonts w:ascii="Arial" w:eastAsia="Times New Roman" w:hAnsi="Arial" w:cs="Arial"/>
          <w:b/>
          <w:bCs/>
          <w:color w:val="444444"/>
          <w:sz w:val="21"/>
          <w:szCs w:val="21"/>
          <w:lang w:eastAsia="pt-PT"/>
        </w:rPr>
      </w:pPr>
      <w:r w:rsidRPr="0028710B">
        <w:rPr>
          <w:rFonts w:ascii="Arial" w:eastAsia="Times New Roman" w:hAnsi="Arial" w:cs="Arial"/>
          <w:b/>
          <w:bCs/>
          <w:color w:val="444444"/>
          <w:sz w:val="21"/>
          <w:szCs w:val="21"/>
          <w:lang w:eastAsia="pt-PT"/>
        </w:rPr>
        <w:t>Que regras mudam e o que devem as empresas, em particular as PME, fazer em função das alterações contabilísticas que se aproximam?</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De tempos a tempos é necessário mudar</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POC é um sistema antigo, que representou um avanço considerável para a sua época, mas é necessário ter em conta que Portugal mudou muito desde o tempo em que foi instituído até aos nossos dias. A adesão à União Europeia, a abertura crescente da economia nacional e a maior complexidade das empresas, exigem demonstrações financeiras harmonizadas a nível internacional. Não faz sentido que as empresas internacionais estejam sujeitas a regras específicas de contabilidade emitidas por cada um dos países em que estão presentes. Como também se torna necessário um sistema contabilístico que facilite o acesso às empresas nacionais aos mercados de dívida e de capitais internacionais.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Por outro lado, a experiência demonstra que um plano de contas único que vise servir todo o tipo de entidades, desde as mais pequenas às maiores, se torna incapaz de dar resposta às exigências de cada uma delas. Além disso, é muito pesado para as pequenas e muito frágil para as grandes. Um compromisso entre o flexível e o abrangente foi o que se procurou alcançar com a introdução de "níveis de estrutura normativa contabilística".</w:t>
      </w:r>
    </w:p>
    <w:p w:rsidR="0028710B" w:rsidRPr="0028710B" w:rsidRDefault="0028710B" w:rsidP="0028710B">
      <w:pPr>
        <w:spacing w:before="58" w:after="115" w:line="240" w:lineRule="auto"/>
        <w:rPr>
          <w:rFonts w:ascii="Arial" w:eastAsia="Times New Roman" w:hAnsi="Arial" w:cs="Arial"/>
          <w:sz w:val="24"/>
          <w:szCs w:val="24"/>
          <w:lang w:eastAsia="pt-PT"/>
        </w:rPr>
      </w:pPr>
      <w:r w:rsidRPr="0028710B">
        <w:rPr>
          <w:rFonts w:ascii="Arial" w:eastAsia="Times New Roman" w:hAnsi="Arial" w:cs="Arial"/>
          <w:b/>
          <w:bCs/>
          <w:sz w:val="24"/>
          <w:szCs w:val="24"/>
          <w:lang w:eastAsia="pt-PT"/>
        </w:rPr>
        <w:t>As duas contabilidades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Convém recordar que o Decreto-Lei nº 35/2005 de 17 de Fevereiro, uma abordagem às Normas Internacionais de Contabilidade no normativo português, trouxe consigo o problema das "duas contabilidades" às empresas cotadas em bolsa, às empresas sujeitas à supervisão do Banco de Portugal ou do Instituto de Seguros de Portugal, entre outras. Ao transpor a Directiva n.º 2003/51/CE do Parlamento Europeu e do Conselho, de 18 de Junho, impôs a adopção das NIC para estas empresas, ao mesmo tempo que as obrigou a manter o sistema de contabilidade baseado no POC para efeitos fiscais.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Para além do custo, como se avalia a performance económica e financeira destas empresas quando se tem dois sistemas de medição distintos?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Em que consiste o novo Sistema de Normalização Contabilística?</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É neste cenário e para procurar responder aos desafios acima mencionados, que surge então o novo Sistema de Normalização Contabilística.</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 Comissão de Normalização Contabilística, a entidade que tem a competência em Portugal para emitir normas contabilísticas, define o SNC como "um modelo baseado em princípios e não em regras". Significa isto que devemos favorecer um raciocínio conceptual das questões contabilísticas por oposição ao modelo tradicional, baseado em aspectos meramente </w:t>
      </w:r>
      <w:proofErr w:type="gramStart"/>
      <w:r w:rsidRPr="0028710B">
        <w:rPr>
          <w:rFonts w:ascii="Arial" w:eastAsia="Times New Roman" w:hAnsi="Arial" w:cs="Arial"/>
          <w:sz w:val="24"/>
          <w:szCs w:val="24"/>
          <w:lang w:eastAsia="pt-PT"/>
        </w:rPr>
        <w:t>formais, </w:t>
      </w:r>
      <w:proofErr w:type="gramEnd"/>
      <w:r w:rsidRPr="0028710B">
        <w:rPr>
          <w:rFonts w:ascii="Arial" w:eastAsia="Times New Roman" w:hAnsi="Arial" w:cs="Arial"/>
          <w:sz w:val="24"/>
          <w:szCs w:val="24"/>
          <w:lang w:eastAsia="pt-PT"/>
        </w:rPr>
        <w:t xml:space="preserve"> mecanicistas, de classificação de documentos e de codificação.</w:t>
      </w:r>
    </w:p>
    <w:p w:rsidR="0028710B" w:rsidRPr="0028710B" w:rsidRDefault="0028710B" w:rsidP="0028710B">
      <w:pPr>
        <w:spacing w:before="58"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que vai mudar na terminologia das contas:</w:t>
      </w:r>
    </w:p>
    <w:tbl>
      <w:tblPr>
        <w:tblW w:w="6000" w:type="dxa"/>
        <w:jc w:val="center"/>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3000"/>
        <w:gridCol w:w="3000"/>
      </w:tblGrid>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b/>
                <w:bCs/>
                <w:color w:val="404040"/>
                <w:sz w:val="24"/>
                <w:szCs w:val="24"/>
                <w:lang w:eastAsia="pt-PT"/>
              </w:rPr>
              <w:lastRenderedPageBreak/>
              <w:t>POC</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jc w:val="both"/>
              <w:rPr>
                <w:rFonts w:ascii="Arial" w:eastAsia="Times New Roman" w:hAnsi="Arial" w:cs="Arial"/>
                <w:color w:val="404040"/>
                <w:sz w:val="24"/>
                <w:szCs w:val="24"/>
                <w:lang w:eastAsia="pt-PT"/>
              </w:rPr>
            </w:pPr>
            <w:r w:rsidRPr="0028710B">
              <w:rPr>
                <w:rFonts w:ascii="Arial" w:eastAsia="Times New Roman" w:hAnsi="Arial" w:cs="Arial"/>
                <w:b/>
                <w:bCs/>
                <w:color w:val="404040"/>
                <w:sz w:val="24"/>
                <w:szCs w:val="24"/>
                <w:lang w:eastAsia="pt-PT"/>
              </w:rPr>
              <w:t>SNC</w:t>
            </w:r>
          </w:p>
        </w:tc>
      </w:tr>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Disponibilidades</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Meios financeiros líquidos</w:t>
            </w:r>
          </w:p>
        </w:tc>
      </w:tr>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Terceiros</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Contas a receber e a pagar</w:t>
            </w:r>
          </w:p>
        </w:tc>
      </w:tr>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Existências</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Inventários e activos biológicos</w:t>
            </w:r>
          </w:p>
        </w:tc>
      </w:tr>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Imobilizado</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Investimentos</w:t>
            </w:r>
          </w:p>
        </w:tc>
      </w:tr>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Capital</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Capital, reservas e resultados transitados</w:t>
            </w:r>
          </w:p>
        </w:tc>
      </w:tr>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Custos</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Gastos</w:t>
            </w:r>
          </w:p>
        </w:tc>
      </w:tr>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Proveitos</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Rendimentos</w:t>
            </w:r>
          </w:p>
        </w:tc>
      </w:tr>
      <w:tr w:rsidR="0028710B" w:rsidRPr="0028710B" w:rsidTr="0028710B">
        <w:trPr>
          <w:jc w:val="center"/>
        </w:trPr>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Resultados</w:t>
            </w:r>
          </w:p>
        </w:tc>
        <w:tc>
          <w:tcPr>
            <w:tcW w:w="165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Resultados</w:t>
            </w:r>
          </w:p>
        </w:tc>
      </w:tr>
    </w:tbl>
    <w:p w:rsidR="0028710B" w:rsidRPr="0028710B" w:rsidRDefault="0028710B" w:rsidP="0028710B">
      <w:pPr>
        <w:spacing w:before="58"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Tendo em conta a reduzida dimensão das empresas portuguesas, foram criados níveis de aplicação das Normas Internacionais de Contabilidade. Assim temos:</w:t>
      </w:r>
    </w:p>
    <w:tbl>
      <w:tblPr>
        <w:tblW w:w="9450" w:type="dxa"/>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3886"/>
        <w:gridCol w:w="5564"/>
      </w:tblGrid>
      <w:tr w:rsidR="0028710B" w:rsidRPr="0028710B" w:rsidTr="0028710B">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b/>
                <w:bCs/>
                <w:color w:val="404040"/>
                <w:sz w:val="24"/>
                <w:szCs w:val="24"/>
                <w:lang w:eastAsia="pt-PT"/>
              </w:rPr>
              <w:t>1º Nível - Aplicação das Normas Internacionais Contabilidade (IAS/IFRS)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numPr>
                <w:ilvl w:val="0"/>
                <w:numId w:val="88"/>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De aplicação obrigatória às contas </w:t>
            </w:r>
            <w:proofErr w:type="spellStart"/>
            <w:r w:rsidRPr="0028710B">
              <w:rPr>
                <w:rFonts w:ascii="Arial" w:eastAsia="Times New Roman" w:hAnsi="Arial" w:cs="Arial"/>
                <w:color w:val="404040"/>
                <w:sz w:val="24"/>
                <w:szCs w:val="24"/>
                <w:lang w:eastAsia="pt-PT"/>
              </w:rPr>
              <w:t>consolidadadas</w:t>
            </w:r>
            <w:proofErr w:type="spellEnd"/>
            <w:r w:rsidRPr="0028710B">
              <w:rPr>
                <w:rFonts w:ascii="Arial" w:eastAsia="Times New Roman" w:hAnsi="Arial" w:cs="Arial"/>
                <w:color w:val="404040"/>
                <w:sz w:val="24"/>
                <w:szCs w:val="24"/>
                <w:lang w:eastAsia="pt-PT"/>
              </w:rPr>
              <w:t xml:space="preserve"> das sociedades com valores mobiliários admitidos à negociação em mercado regulamentado. Trata-se da obrigação de adopção por parte das empresas cotadas em bolsa; </w:t>
            </w:r>
          </w:p>
          <w:p w:rsidR="0028710B" w:rsidRPr="0028710B" w:rsidRDefault="0028710B" w:rsidP="0028710B">
            <w:pPr>
              <w:numPr>
                <w:ilvl w:val="0"/>
                <w:numId w:val="88"/>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De aplicação obrigatória às contas individuais das sociedades cujas contas consolidadas apliquem as IAS/IFRS; </w:t>
            </w:r>
          </w:p>
          <w:p w:rsidR="0028710B" w:rsidRPr="0028710B" w:rsidRDefault="0028710B" w:rsidP="0028710B">
            <w:pPr>
              <w:numPr>
                <w:ilvl w:val="0"/>
                <w:numId w:val="88"/>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De aplicação voluntária às contas consolidadas de outras sociedades abrangidas pelo SNC desde que acompanhadas de certificação legal de contas; </w:t>
            </w:r>
          </w:p>
          <w:p w:rsidR="0028710B" w:rsidRPr="0028710B" w:rsidRDefault="0028710B" w:rsidP="0028710B">
            <w:pPr>
              <w:numPr>
                <w:ilvl w:val="0"/>
                <w:numId w:val="88"/>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De aplicação voluntária às contas individuais de entidades que integrem o perímetro de consolidação de quem aplica as IAS/IFRS desde que submetidas à certificação legal de contas; </w:t>
            </w:r>
          </w:p>
          <w:p w:rsidR="0028710B" w:rsidRPr="0028710B" w:rsidRDefault="0028710B" w:rsidP="0028710B">
            <w:pPr>
              <w:numPr>
                <w:ilvl w:val="0"/>
                <w:numId w:val="88"/>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Este primeiro nível já foi introduzido pelo DL nº35/2005 em cerca de 90 empresas portuguesas. </w:t>
            </w:r>
          </w:p>
        </w:tc>
      </w:tr>
      <w:tr w:rsidR="0028710B" w:rsidRPr="0028710B" w:rsidTr="0028710B">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b/>
                <w:bCs/>
                <w:color w:val="404040"/>
                <w:sz w:val="24"/>
                <w:szCs w:val="24"/>
                <w:lang w:eastAsia="pt-PT"/>
              </w:rPr>
              <w:t>2º Nível - Aplicação das Normas de Contabilidade e de Relato Financeiro (NCRF)</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numPr>
                <w:ilvl w:val="0"/>
                <w:numId w:val="89"/>
              </w:numPr>
              <w:spacing w:before="100" w:beforeAutospacing="1" w:after="100" w:afterAutospacing="1" w:line="240" w:lineRule="auto"/>
              <w:ind w:left="115"/>
              <w:rPr>
                <w:rFonts w:ascii="Arial" w:eastAsia="Times New Roman" w:hAnsi="Arial" w:cs="Arial"/>
                <w:color w:val="404040"/>
                <w:sz w:val="24"/>
                <w:szCs w:val="24"/>
                <w:lang w:eastAsia="pt-PT"/>
              </w:rPr>
            </w:pPr>
            <w:proofErr w:type="gramStart"/>
            <w:r w:rsidRPr="0028710B">
              <w:rPr>
                <w:rFonts w:ascii="Arial" w:eastAsia="Times New Roman" w:hAnsi="Arial" w:cs="Arial"/>
                <w:color w:val="404040"/>
                <w:sz w:val="24"/>
                <w:szCs w:val="24"/>
                <w:lang w:eastAsia="pt-PT"/>
              </w:rPr>
              <w:t>Aplicável a todas as entidades que não adoptem</w:t>
            </w:r>
            <w:proofErr w:type="gramEnd"/>
            <w:r w:rsidRPr="0028710B">
              <w:rPr>
                <w:rFonts w:ascii="Arial" w:eastAsia="Times New Roman" w:hAnsi="Arial" w:cs="Arial"/>
                <w:color w:val="404040"/>
                <w:sz w:val="24"/>
                <w:szCs w:val="24"/>
                <w:lang w:eastAsia="pt-PT"/>
              </w:rPr>
              <w:t xml:space="preserve"> as IAS/IFRS e que sejam: </w:t>
            </w:r>
          </w:p>
          <w:p w:rsidR="0028710B" w:rsidRPr="0028710B" w:rsidRDefault="0028710B" w:rsidP="0028710B">
            <w:pPr>
              <w:numPr>
                <w:ilvl w:val="0"/>
                <w:numId w:val="89"/>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Sociedades abrangidas pelo Código das Sociedades Comerciais </w:t>
            </w:r>
          </w:p>
          <w:p w:rsidR="0028710B" w:rsidRPr="0028710B" w:rsidRDefault="0028710B" w:rsidP="0028710B">
            <w:pPr>
              <w:numPr>
                <w:ilvl w:val="0"/>
                <w:numId w:val="89"/>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Empresas individuais reguladas pelo Código Comercial </w:t>
            </w:r>
          </w:p>
          <w:p w:rsidR="0028710B" w:rsidRPr="0028710B" w:rsidRDefault="0028710B" w:rsidP="0028710B">
            <w:pPr>
              <w:numPr>
                <w:ilvl w:val="0"/>
                <w:numId w:val="89"/>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Estabelecimentos Individuais de Responsabilidade Limitada (EIRL) </w:t>
            </w:r>
          </w:p>
          <w:p w:rsidR="0028710B" w:rsidRPr="0028710B" w:rsidRDefault="0028710B" w:rsidP="0028710B">
            <w:pPr>
              <w:numPr>
                <w:ilvl w:val="0"/>
                <w:numId w:val="89"/>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lastRenderedPageBreak/>
              <w:t xml:space="preserve">Empresas Públicas </w:t>
            </w:r>
          </w:p>
          <w:p w:rsidR="0028710B" w:rsidRPr="0028710B" w:rsidRDefault="0028710B" w:rsidP="0028710B">
            <w:pPr>
              <w:numPr>
                <w:ilvl w:val="0"/>
                <w:numId w:val="89"/>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Cooperativas; </w:t>
            </w:r>
          </w:p>
          <w:p w:rsidR="0028710B" w:rsidRPr="0028710B" w:rsidRDefault="0028710B" w:rsidP="0028710B">
            <w:pPr>
              <w:numPr>
                <w:ilvl w:val="0"/>
                <w:numId w:val="89"/>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Agrupamentos Complementares de Empresas (ACE) e Agrupamentos de Interesse Económico (AIE). </w:t>
            </w:r>
          </w:p>
          <w:p w:rsidR="0028710B" w:rsidRPr="0028710B" w:rsidRDefault="0028710B" w:rsidP="0028710B">
            <w:pPr>
              <w:numPr>
                <w:ilvl w:val="0"/>
                <w:numId w:val="89"/>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O segundo nível é, no fundo, uma simplificação do primeiro, que visa não sobrecarregar as empresas de menor dimensão, mantendo os conceitos das IAS/IFRS. </w:t>
            </w:r>
          </w:p>
        </w:tc>
      </w:tr>
      <w:tr w:rsidR="0028710B" w:rsidRPr="0028710B" w:rsidTr="0028710B">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spacing w:after="0" w:line="240" w:lineRule="auto"/>
              <w:rPr>
                <w:rFonts w:ascii="Arial" w:eastAsia="Times New Roman" w:hAnsi="Arial" w:cs="Arial"/>
                <w:color w:val="404040"/>
                <w:sz w:val="24"/>
                <w:szCs w:val="24"/>
                <w:lang w:eastAsia="pt-PT"/>
              </w:rPr>
            </w:pPr>
            <w:r w:rsidRPr="0028710B">
              <w:rPr>
                <w:rFonts w:ascii="Arial" w:eastAsia="Times New Roman" w:hAnsi="Arial" w:cs="Arial"/>
                <w:b/>
                <w:bCs/>
                <w:color w:val="404040"/>
                <w:sz w:val="24"/>
                <w:szCs w:val="24"/>
                <w:lang w:eastAsia="pt-PT"/>
              </w:rPr>
              <w:lastRenderedPageBreak/>
              <w:t>3º Nível - Normas Contabilísticas e de Relato Financeiro para Pequenas Entidades (NCRF-PE) ou "Regime Simplificado"</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28710B" w:rsidRPr="0028710B" w:rsidRDefault="0028710B" w:rsidP="0028710B">
            <w:pPr>
              <w:numPr>
                <w:ilvl w:val="0"/>
                <w:numId w:val="90"/>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Aplicável a pequenas entidades, que não ultrapassem dois dos três limites seguintes: </w:t>
            </w:r>
          </w:p>
          <w:p w:rsidR="0028710B" w:rsidRPr="0028710B" w:rsidRDefault="0028710B" w:rsidP="0028710B">
            <w:pPr>
              <w:numPr>
                <w:ilvl w:val="0"/>
                <w:numId w:val="90"/>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Total de balanço: 500 000 euros; </w:t>
            </w:r>
          </w:p>
          <w:p w:rsidR="0028710B" w:rsidRPr="0028710B" w:rsidRDefault="0028710B" w:rsidP="0028710B">
            <w:pPr>
              <w:numPr>
                <w:ilvl w:val="0"/>
                <w:numId w:val="90"/>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Total de vendas líquidas e outros proveitos: 1 000 </w:t>
            </w:r>
            <w:proofErr w:type="spellStart"/>
            <w:r w:rsidRPr="0028710B">
              <w:rPr>
                <w:rFonts w:ascii="Arial" w:eastAsia="Times New Roman" w:hAnsi="Arial" w:cs="Arial"/>
                <w:color w:val="404040"/>
                <w:sz w:val="24"/>
                <w:szCs w:val="24"/>
                <w:lang w:eastAsia="pt-PT"/>
              </w:rPr>
              <w:t>000</w:t>
            </w:r>
            <w:proofErr w:type="spellEnd"/>
            <w:r w:rsidRPr="0028710B">
              <w:rPr>
                <w:rFonts w:ascii="Arial" w:eastAsia="Times New Roman" w:hAnsi="Arial" w:cs="Arial"/>
                <w:color w:val="404040"/>
                <w:sz w:val="24"/>
                <w:szCs w:val="24"/>
                <w:lang w:eastAsia="pt-PT"/>
              </w:rPr>
              <w:t xml:space="preserve"> euros; </w:t>
            </w:r>
          </w:p>
          <w:p w:rsidR="0028710B" w:rsidRPr="0028710B" w:rsidRDefault="0028710B" w:rsidP="0028710B">
            <w:pPr>
              <w:numPr>
                <w:ilvl w:val="0"/>
                <w:numId w:val="90"/>
              </w:numPr>
              <w:spacing w:before="100" w:beforeAutospacing="1" w:after="100" w:afterAutospacing="1" w:line="240" w:lineRule="auto"/>
              <w:ind w:left="115"/>
              <w:rPr>
                <w:rFonts w:ascii="Arial" w:eastAsia="Times New Roman" w:hAnsi="Arial" w:cs="Arial"/>
                <w:color w:val="404040"/>
                <w:sz w:val="24"/>
                <w:szCs w:val="24"/>
                <w:lang w:eastAsia="pt-PT"/>
              </w:rPr>
            </w:pPr>
            <w:r w:rsidRPr="0028710B">
              <w:rPr>
                <w:rFonts w:ascii="Arial" w:eastAsia="Times New Roman" w:hAnsi="Arial" w:cs="Arial"/>
                <w:color w:val="404040"/>
                <w:sz w:val="24"/>
                <w:szCs w:val="24"/>
                <w:lang w:eastAsia="pt-PT"/>
              </w:rPr>
              <w:t xml:space="preserve">Número médio de trabalhadores durante o exercício: 20. </w:t>
            </w:r>
          </w:p>
        </w:tc>
      </w:tr>
    </w:tbl>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O esforço de adaptação das empresas e dos Técnicos Oficiais de Contas (TOC)</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novo SNC parece, à primeira vista, mais ambíguo do que o POC. Entre outras, questões como a valorização dos activos pelo "justo valor" vão dar lugar a um exercício de interpretação que exigirá, por parte dos TOC, um maior grau de conhecimento da actividade das empresas às quais se dedicam. Por outro lado, o novo SNC parece mais exigente em termos de reporte financeiro, esperando-se mais detalhe na prestação de informação quantitativa e qualitativa por parte das empresas.</w:t>
      </w:r>
    </w:p>
    <w:p w:rsidR="0028710B" w:rsidRDefault="0028710B" w:rsidP="0028710B">
      <w:pPr>
        <w:spacing w:before="58"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Para as empresas, ficar isolado em termos de normalização contabilística não é uma opção viável. A introdução do SNC vai certamente favorecer a transparência e a comparabilidade das empresas portuguesas na União Europeia. Será mais um desafio e uma nova oportunidade a aproveitar.</w:t>
      </w:r>
    </w:p>
    <w:p w:rsidR="005F39C8" w:rsidRPr="0028710B" w:rsidRDefault="005F39C8" w:rsidP="0028710B">
      <w:pPr>
        <w:spacing w:before="58" w:line="240" w:lineRule="auto"/>
        <w:jc w:val="both"/>
        <w:rPr>
          <w:rFonts w:ascii="Arial" w:eastAsia="Times New Roman" w:hAnsi="Arial" w:cs="Arial"/>
          <w:sz w:val="24"/>
          <w:szCs w:val="24"/>
          <w:lang w:eastAsia="pt-PT"/>
        </w:rPr>
      </w:pPr>
    </w:p>
    <w:p w:rsidR="0028710B" w:rsidRDefault="0028710B" w:rsidP="0028710B">
      <w:pPr>
        <w:spacing w:before="115" w:line="264" w:lineRule="auto"/>
        <w:outlineLvl w:val="2"/>
        <w:rPr>
          <w:rFonts w:ascii="Georgia" w:eastAsia="Times New Roman" w:hAnsi="Georgia" w:cs="Arial"/>
          <w:color w:val="FF0000"/>
          <w:spacing w:val="-12"/>
          <w:sz w:val="14"/>
          <w:szCs w:val="14"/>
          <w:vertAlign w:val="superscript"/>
          <w:lang w:eastAsia="pt-PT"/>
        </w:rPr>
      </w:pPr>
      <w:bookmarkStart w:id="6" w:name="_Toc290996381"/>
      <w:r w:rsidRPr="0028710B">
        <w:rPr>
          <w:rFonts w:ascii="Georgia" w:eastAsia="Times New Roman" w:hAnsi="Georgia" w:cs="Arial"/>
          <w:color w:val="FF0000"/>
          <w:spacing w:val="-12"/>
          <w:sz w:val="42"/>
          <w:szCs w:val="42"/>
          <w:lang w:eastAsia="pt-PT"/>
        </w:rPr>
        <w:t>Introdução ao novo Sistema de Normalização Contabilística</w:t>
      </w:r>
      <w:bookmarkEnd w:id="6"/>
    </w:p>
    <w:p w:rsidR="0028710B" w:rsidRDefault="0028710B" w:rsidP="0028710B">
      <w:pPr>
        <w:pStyle w:val="NormalWeb"/>
        <w:spacing w:line="276" w:lineRule="atLeast"/>
        <w:jc w:val="both"/>
        <w:rPr>
          <w:rFonts w:ascii="Arial" w:hAnsi="Arial" w:cs="Arial"/>
          <w:b/>
          <w:bCs/>
          <w:color w:val="444444"/>
          <w:sz w:val="21"/>
          <w:szCs w:val="21"/>
        </w:rPr>
      </w:pPr>
      <w:r>
        <w:rPr>
          <w:rFonts w:ascii="Arial" w:hAnsi="Arial" w:cs="Arial"/>
          <w:b/>
          <w:bCs/>
          <w:color w:val="444444"/>
          <w:sz w:val="21"/>
          <w:szCs w:val="21"/>
        </w:rPr>
        <w:t>O novo Sistema de Normalização Contabilística (SNC), tema de conhecimento generalizado e de forte discussão nos meios de comunicação, académicos e empresariais, é o mais recente paradigma da disciplina portuguesa em matéria de contabilidade.</w:t>
      </w:r>
      <w:r>
        <w:rPr>
          <w:rFonts w:ascii="Arial" w:hAnsi="Arial" w:cs="Arial"/>
          <w:b/>
          <w:bCs/>
          <w:color w:val="444444"/>
          <w:sz w:val="21"/>
          <w:szCs w:val="21"/>
        </w:rPr>
        <w:br/>
        <w:t>Com entrada em vigor em 1 de Janeiro de 2010, este modelo constitui a reacção nacional à evolução comunitária.</w:t>
      </w:r>
    </w:p>
    <w:p w:rsidR="0028710B" w:rsidRDefault="0028710B" w:rsidP="0028710B">
      <w:pPr>
        <w:pStyle w:val="NormalWeb"/>
        <w:rPr>
          <w:rFonts w:ascii="Arial" w:hAnsi="Arial" w:cs="Arial"/>
        </w:rPr>
      </w:pPr>
      <w:r>
        <w:rPr>
          <w:rFonts w:ascii="Arial" w:hAnsi="Arial" w:cs="Arial"/>
        </w:rPr>
        <w:t> </w:t>
      </w:r>
    </w:p>
    <w:p w:rsidR="0028710B" w:rsidRDefault="0028710B" w:rsidP="0028710B">
      <w:pPr>
        <w:pStyle w:val="NormalWeb"/>
        <w:jc w:val="both"/>
        <w:rPr>
          <w:rFonts w:ascii="Arial" w:hAnsi="Arial" w:cs="Arial"/>
        </w:rPr>
      </w:pPr>
      <w:r>
        <w:rPr>
          <w:rStyle w:val="Forte"/>
          <w:rFonts w:ascii="Arial" w:hAnsi="Arial" w:cs="Arial"/>
        </w:rPr>
        <w:t>A aproximação à União Europeia</w:t>
      </w:r>
    </w:p>
    <w:p w:rsidR="0028710B" w:rsidRDefault="0028710B" w:rsidP="0028710B">
      <w:pPr>
        <w:pStyle w:val="NormalWeb"/>
        <w:jc w:val="both"/>
        <w:rPr>
          <w:rFonts w:ascii="Arial" w:hAnsi="Arial" w:cs="Arial"/>
        </w:rPr>
      </w:pPr>
      <w:r>
        <w:rPr>
          <w:rFonts w:ascii="Arial" w:hAnsi="Arial" w:cs="Arial"/>
        </w:rPr>
        <w:lastRenderedPageBreak/>
        <w:t>No decurso do processo europeu de harmonização contabilística, o Regulamento 1606/2002, do Parlamento Europeu e do Conselho, instituiu a obrigatoriedade de aplicação das Normas Internacionais de Contabilidade (NIC) e interpretações conexas para as empresas cotadas, ao nível das suas contas consolidadas.</w:t>
      </w:r>
    </w:p>
    <w:p w:rsidR="0028710B" w:rsidRDefault="0028710B" w:rsidP="0028710B">
      <w:pPr>
        <w:pStyle w:val="NormalWeb"/>
        <w:jc w:val="both"/>
        <w:rPr>
          <w:rFonts w:ascii="Arial" w:hAnsi="Arial" w:cs="Arial"/>
        </w:rPr>
      </w:pPr>
      <w:r>
        <w:rPr>
          <w:rFonts w:ascii="Arial" w:hAnsi="Arial" w:cs="Arial"/>
        </w:rPr>
        <w:t>Não obstante, esse documento concedia liberdade a cada Estado Membro para legislar para as restantes empresas.</w:t>
      </w:r>
    </w:p>
    <w:p w:rsidR="0028710B" w:rsidRDefault="0028710B" w:rsidP="0028710B">
      <w:pPr>
        <w:pStyle w:val="NormalWeb"/>
        <w:jc w:val="both"/>
        <w:rPr>
          <w:rFonts w:ascii="Arial" w:hAnsi="Arial" w:cs="Arial"/>
        </w:rPr>
      </w:pPr>
      <w:r>
        <w:rPr>
          <w:rFonts w:ascii="Arial" w:hAnsi="Arial" w:cs="Arial"/>
        </w:rPr>
        <w:t>Portugal exerceu a sua opção no Decreto-Lei 35/2005, tornando obrigatória a adopção das NIC nas contas consolidadas de empresas com valores mobiliários negociados em mercados regulamentados e tornando extensível essa possibilidade a outras entidades (contas consolidadas de empresas não cotadas e contas individuais de empresas cujas contas consolidadas adoptem as NIC, desde que as demonstrações financeiras fossem objecto de certificação legal de contas).</w:t>
      </w:r>
    </w:p>
    <w:p w:rsidR="0028710B" w:rsidRDefault="0028710B" w:rsidP="0028710B">
      <w:pPr>
        <w:pStyle w:val="NormalWeb"/>
        <w:jc w:val="both"/>
        <w:rPr>
          <w:rFonts w:ascii="Arial" w:hAnsi="Arial" w:cs="Arial"/>
        </w:rPr>
      </w:pPr>
      <w:r>
        <w:rPr>
          <w:rStyle w:val="Forte"/>
          <w:rFonts w:ascii="Arial" w:hAnsi="Arial" w:cs="Arial"/>
        </w:rPr>
        <w:t>Resposta nacional - SNC</w:t>
      </w:r>
    </w:p>
    <w:p w:rsidR="0028710B" w:rsidRDefault="0028710B" w:rsidP="0028710B">
      <w:pPr>
        <w:pStyle w:val="NormalWeb"/>
        <w:jc w:val="both"/>
        <w:rPr>
          <w:rFonts w:ascii="Arial" w:hAnsi="Arial" w:cs="Arial"/>
        </w:rPr>
      </w:pPr>
      <w:r>
        <w:rPr>
          <w:rFonts w:ascii="Arial" w:hAnsi="Arial" w:cs="Arial"/>
        </w:rPr>
        <w:t>Em Julho de 2007, a Comissão de Normalização Contabilística (CNC) apresentou e submeteu a apreciação governamental o (ainda) projecto "SNC".</w:t>
      </w:r>
      <w:r>
        <w:rPr>
          <w:rFonts w:ascii="Arial" w:hAnsi="Arial" w:cs="Arial"/>
        </w:rPr>
        <w:br/>
        <w:t>Dada a complexidade e exigência da transição para o SNC, colocou-se o projecto em consulta pública destinada à recolha de sugestões e contributos de aperfeiçoamento e em audição pública durante 60 dias.</w:t>
      </w:r>
      <w:r>
        <w:rPr>
          <w:rFonts w:ascii="Arial" w:hAnsi="Arial" w:cs="Arial"/>
        </w:rPr>
        <w:br/>
        <w:t>Esse processo culminou com a publicação do Decreto-Lei 158/2009, que aprova o SNC, bem como do Decreto-Lei 159/2009, que adapta o Código do Imposto sobre o Rendimento das Pessoas Colectivas (CIRC) às NIC e ao SNC.</w:t>
      </w:r>
    </w:p>
    <w:p w:rsidR="0028710B" w:rsidRDefault="0028710B" w:rsidP="0028710B">
      <w:pPr>
        <w:pStyle w:val="NormalWeb"/>
        <w:jc w:val="both"/>
        <w:rPr>
          <w:rFonts w:ascii="Arial" w:hAnsi="Arial" w:cs="Arial"/>
        </w:rPr>
      </w:pPr>
      <w:r>
        <w:rPr>
          <w:rStyle w:val="Forte"/>
          <w:rFonts w:ascii="Arial" w:hAnsi="Arial" w:cs="Arial"/>
        </w:rPr>
        <w:t>Estrutura geral do SNC</w:t>
      </w:r>
    </w:p>
    <w:p w:rsidR="0028710B" w:rsidRDefault="0028710B" w:rsidP="0028710B">
      <w:pPr>
        <w:pStyle w:val="NormalWeb"/>
        <w:jc w:val="both"/>
        <w:rPr>
          <w:rFonts w:ascii="Arial" w:hAnsi="Arial" w:cs="Arial"/>
        </w:rPr>
      </w:pPr>
      <w:r>
        <w:rPr>
          <w:rFonts w:ascii="Arial" w:hAnsi="Arial" w:cs="Arial"/>
        </w:rPr>
        <w:t>Em termos básicos, este modelo assenta em Normas Contabilísticas e de Relato Financeiro (NCRF), aderentes ao modelo do "</w:t>
      </w:r>
      <w:proofErr w:type="spellStart"/>
      <w:r>
        <w:rPr>
          <w:rFonts w:ascii="Arial" w:hAnsi="Arial" w:cs="Arial"/>
        </w:rPr>
        <w:t>International</w:t>
      </w:r>
      <w:proofErr w:type="spellEnd"/>
      <w:r>
        <w:rPr>
          <w:rFonts w:ascii="Arial" w:hAnsi="Arial" w:cs="Arial"/>
        </w:rPr>
        <w:t xml:space="preserve"> </w:t>
      </w:r>
      <w:proofErr w:type="spellStart"/>
      <w:r>
        <w:rPr>
          <w:rFonts w:ascii="Arial" w:hAnsi="Arial" w:cs="Arial"/>
        </w:rPr>
        <w:t>Accounting</w:t>
      </w:r>
      <w:proofErr w:type="spellEnd"/>
      <w:r>
        <w:rPr>
          <w:rFonts w:ascii="Arial" w:hAnsi="Arial" w:cs="Arial"/>
        </w:rPr>
        <w:t xml:space="preserve"> Standards </w:t>
      </w:r>
      <w:proofErr w:type="spellStart"/>
      <w:r>
        <w:rPr>
          <w:rFonts w:ascii="Arial" w:hAnsi="Arial" w:cs="Arial"/>
        </w:rPr>
        <w:t>Board</w:t>
      </w:r>
      <w:proofErr w:type="spellEnd"/>
      <w:r>
        <w:rPr>
          <w:rFonts w:ascii="Arial" w:hAnsi="Arial" w:cs="Arial"/>
        </w:rPr>
        <w:t>" (IAS adoptado na União Europeia, e revoga o Plano Oficial de Contabilidade (POC) e legislação complementar.</w:t>
      </w:r>
      <w:r>
        <w:rPr>
          <w:rFonts w:ascii="Arial" w:hAnsi="Arial" w:cs="Arial"/>
        </w:rPr>
        <w:br/>
        <w:t>Em termos formais, é definido no DL 158/2009, já anteriormente mencionado, e seu Anexo, de 13 de Julho, que fornecem a sua apresentação geral, as bases para a apresentação de demonstrações financeiras e seus modelos, o código de contas, as normas interpretativas, as NCRF e a Norma Contabilística e de Relato Financeiro para pequenas entidades (NCRF-PE).</w:t>
      </w:r>
    </w:p>
    <w:p w:rsidR="0028710B" w:rsidRDefault="0028710B" w:rsidP="0028710B">
      <w:pPr>
        <w:pStyle w:val="NormalWeb"/>
        <w:jc w:val="both"/>
        <w:rPr>
          <w:rFonts w:ascii="Arial" w:hAnsi="Arial" w:cs="Arial"/>
        </w:rPr>
      </w:pPr>
      <w:r>
        <w:rPr>
          <w:rStyle w:val="Forte"/>
          <w:rFonts w:ascii="Arial" w:hAnsi="Arial" w:cs="Arial"/>
        </w:rPr>
        <w:t>Algumas especificidades do SNC</w:t>
      </w:r>
    </w:p>
    <w:p w:rsidR="0028710B" w:rsidRDefault="0028710B" w:rsidP="0028710B">
      <w:pPr>
        <w:pStyle w:val="NormalWeb"/>
        <w:jc w:val="both"/>
        <w:rPr>
          <w:rFonts w:ascii="Arial" w:hAnsi="Arial" w:cs="Arial"/>
        </w:rPr>
      </w:pPr>
      <w:r>
        <w:rPr>
          <w:rFonts w:ascii="Arial" w:hAnsi="Arial" w:cs="Arial"/>
        </w:rPr>
        <w:t>Em termos de âmbito, o SNC aplica-se às sociedades abrangidas pelo Código das Sociedades Comerciais, empresas individuais reguladas pelo Código Comercial, estabelecimentos individuais de responsabilidade limitada, empresas públicas, cooperativas, agrupamentos complementares de empresas e agrupamentos europeus de interesse económico, bem como a outras entidades que, por legislação específica, se encontrem sujeitas ao POC ou venham a estar sujeitas ao SNC.</w:t>
      </w:r>
      <w:r>
        <w:rPr>
          <w:rFonts w:ascii="Arial" w:hAnsi="Arial" w:cs="Arial"/>
        </w:rPr>
        <w:br/>
        <w:t>À semelhança do que ocorre no POC, as entidades que, exercendo a título individual qualquer actividade comercial, industrial ou agrícola, não realizem na média dos últimos três anos um volume de negócios superior a cento e cinquenta mil euros, estão dispensadas da sua aplicação (regime de contabilidade não organizada).</w:t>
      </w:r>
    </w:p>
    <w:p w:rsidR="0028710B" w:rsidRDefault="0028710B" w:rsidP="0028710B">
      <w:pPr>
        <w:pStyle w:val="NormalWeb"/>
        <w:jc w:val="both"/>
        <w:rPr>
          <w:rFonts w:ascii="Arial" w:hAnsi="Arial" w:cs="Arial"/>
        </w:rPr>
      </w:pPr>
      <w:r>
        <w:rPr>
          <w:rFonts w:ascii="Arial" w:hAnsi="Arial" w:cs="Arial"/>
        </w:rPr>
        <w:lastRenderedPageBreak/>
        <w:t>O Decreto-Lei individualiza ainda que entidades estão obrigadas e dispensadas de elaborar contas consolidadas, bem como as exclusões da consolidação.</w:t>
      </w:r>
    </w:p>
    <w:p w:rsidR="0028710B" w:rsidRDefault="0028710B" w:rsidP="0028710B">
      <w:pPr>
        <w:pStyle w:val="NormalWeb"/>
        <w:jc w:val="both"/>
        <w:rPr>
          <w:rFonts w:ascii="Arial" w:hAnsi="Arial" w:cs="Arial"/>
        </w:rPr>
      </w:pPr>
      <w:r>
        <w:rPr>
          <w:rFonts w:ascii="Arial" w:hAnsi="Arial" w:cs="Arial"/>
        </w:rPr>
        <w:t>São igualmente estabelecidas as condições para que entidades que não ultrapassem dois de três limites - total de balanço de quinhentos mil euros, total de vendas líquidas e outros rendimentos de um milhão de euros e número de trabalhadores empregados em média durante o exercício de 20 - e cujas contas não estejam obrigatoriamente sujeitas a certificação legal de contas, possam optar por não aplicar o conjunto total de NCRF, mas apenas a NCRF-PE.</w:t>
      </w:r>
      <w:r>
        <w:rPr>
          <w:rFonts w:ascii="Arial" w:hAnsi="Arial" w:cs="Arial"/>
        </w:rPr>
        <w:br/>
        <w:t>Contudo, se a pequena entidade integrar o perímetro de consolidação de uma entidade que apresente demonstrações financeiras consolidadas, aquela não pode aplicar o regime previsto na NCRF-PE.</w:t>
      </w:r>
    </w:p>
    <w:p w:rsidR="0028710B" w:rsidRDefault="0028710B" w:rsidP="0028710B">
      <w:pPr>
        <w:pStyle w:val="NormalWeb"/>
        <w:jc w:val="both"/>
        <w:rPr>
          <w:rFonts w:ascii="Arial" w:hAnsi="Arial" w:cs="Arial"/>
        </w:rPr>
      </w:pPr>
      <w:r>
        <w:rPr>
          <w:rFonts w:ascii="Arial" w:hAnsi="Arial" w:cs="Arial"/>
        </w:rPr>
        <w:t>No tocante às demonstrações financeiras, estão as empresas sujeitas à apresentação do Balanço, Demonstração de Resultados por Naturezas (a Demonstração de Resultados por Funções é facultativa), Demonstração das Alterações no Capital Próprio, Demonstração dos Fluxos de Caixa (método directo) e Anexo.</w:t>
      </w:r>
      <w:r>
        <w:rPr>
          <w:rFonts w:ascii="Arial" w:hAnsi="Arial" w:cs="Arial"/>
        </w:rPr>
        <w:br/>
        <w:t>As pequenas entidades apenas estão obrigadas a apresentar o Balanço, a Demonstração de Resultados por Naturezas e o Anexo, dada a sua menor exigência de relato (modelos reduzidos).</w:t>
      </w:r>
      <w:r>
        <w:rPr>
          <w:rFonts w:ascii="Arial" w:hAnsi="Arial" w:cs="Arial"/>
        </w:rPr>
        <w:br/>
        <w:t xml:space="preserve">As demonstrações financeiras devem ser elaboradas tendo em conta os princípios de continuidade, periodização económica, consistência, materialidade, não compensação (em regra, entre activos e passivos e rendimentos e ganhos) e informação comparativa (para todas as quantias inscritas nas demonstrações financeiras, quando relevante), </w:t>
      </w:r>
      <w:proofErr w:type="spellStart"/>
      <w:r>
        <w:rPr>
          <w:rFonts w:ascii="Arial" w:hAnsi="Arial" w:cs="Arial"/>
        </w:rPr>
        <w:t>tam</w:t>
      </w:r>
      <w:proofErr w:type="spellEnd"/>
      <w:r>
        <w:rPr>
          <w:rFonts w:ascii="Arial" w:hAnsi="Arial" w:cs="Arial"/>
        </w:rPr>
        <w:t xml:space="preserve"> como em POC.</w:t>
      </w:r>
    </w:p>
    <w:p w:rsidR="0028710B" w:rsidRDefault="0028710B" w:rsidP="0028710B">
      <w:pPr>
        <w:pStyle w:val="NormalWeb"/>
        <w:jc w:val="both"/>
        <w:rPr>
          <w:rFonts w:ascii="Arial" w:hAnsi="Arial" w:cs="Arial"/>
        </w:rPr>
      </w:pPr>
      <w:r>
        <w:rPr>
          <w:rFonts w:ascii="Arial" w:hAnsi="Arial" w:cs="Arial"/>
        </w:rPr>
        <w:t>É identicamente consagrada a imperatividade de adopção do sistema de inventário permanente (com dispensas idênticas às actuais).</w:t>
      </w:r>
    </w:p>
    <w:p w:rsidR="0028710B" w:rsidRDefault="0028710B" w:rsidP="0028710B">
      <w:pPr>
        <w:pStyle w:val="NormalWeb"/>
        <w:jc w:val="both"/>
        <w:rPr>
          <w:rFonts w:ascii="Arial" w:hAnsi="Arial" w:cs="Arial"/>
        </w:rPr>
      </w:pPr>
      <w:r>
        <w:rPr>
          <w:rFonts w:ascii="Arial" w:hAnsi="Arial" w:cs="Arial"/>
        </w:rPr>
        <w:t>O novo Plano de Contas, crucial peça deste sistema, aspira responder às cada vez maiores exigências de registo contabilístico, evitando a mecanização e proclamando o conhecimento da essência dos conceitos e das normas. Permanece a uniformidade de processos e da informação de prestação de contas (manutenção da tradição organizativa do POC), mas atribui-se uma margem significativa de flexibilidade para o reconhecimento de complexas e variadas realidades ao abrigo das normas.</w:t>
      </w:r>
      <w:r>
        <w:rPr>
          <w:rFonts w:ascii="Arial" w:hAnsi="Arial" w:cs="Arial"/>
        </w:rPr>
        <w:br/>
        <w:t>As contas estão agrupadas em oito classes - 1. Meios Financeiros Líquidos, 2. Contas a Receber e a Pagar, 3. Inventários e Activos Biológicos, 4. Investimentos, 5. Capital, Reservas e Resultados Transitados, 6. Gastos, 7. Rendimentos e 8. Resultados - e apresentam algumas diferenças de utilização e movimentação.</w:t>
      </w:r>
      <w:r>
        <w:rPr>
          <w:rFonts w:ascii="Arial" w:hAnsi="Arial" w:cs="Arial"/>
        </w:rPr>
        <w:br/>
        <w:t>Por exemplo, há activos financeiros (instrumentos financeiros) repartidos pelas classes 1 e 4, a classe 2 passa a incluir os acréscimos e diferimentos, surgem os conceitos de imparidade e justo valor, entre outros aspectos.</w:t>
      </w:r>
    </w:p>
    <w:p w:rsidR="0028710B" w:rsidRDefault="0028710B" w:rsidP="0028710B">
      <w:pPr>
        <w:pStyle w:val="NormalWeb"/>
        <w:jc w:val="both"/>
        <w:rPr>
          <w:rFonts w:ascii="Arial" w:hAnsi="Arial" w:cs="Arial"/>
        </w:rPr>
      </w:pPr>
      <w:r>
        <w:rPr>
          <w:rFonts w:ascii="Arial" w:hAnsi="Arial" w:cs="Arial"/>
        </w:rPr>
        <w:t>No tocante às normas interpretativas, estas serão produzidas para esclarecimento e/ou orientação sobre os conteúdos dos restantes componentes do SNC.</w:t>
      </w:r>
    </w:p>
    <w:p w:rsidR="0028710B" w:rsidRDefault="0028710B" w:rsidP="0028710B">
      <w:pPr>
        <w:pStyle w:val="NormalWeb"/>
        <w:jc w:val="both"/>
        <w:rPr>
          <w:rFonts w:ascii="Arial" w:hAnsi="Arial" w:cs="Arial"/>
        </w:rPr>
      </w:pPr>
      <w:r>
        <w:rPr>
          <w:rStyle w:val="Forte"/>
          <w:rFonts w:ascii="Arial" w:hAnsi="Arial" w:cs="Arial"/>
        </w:rPr>
        <w:t>Os instrumentos por excelência do SNC - as NCRF e a NCRF - PE</w:t>
      </w:r>
    </w:p>
    <w:p w:rsidR="0028710B" w:rsidRDefault="0028710B" w:rsidP="0028710B">
      <w:pPr>
        <w:pStyle w:val="NormalWeb"/>
        <w:jc w:val="both"/>
        <w:rPr>
          <w:rFonts w:ascii="Arial" w:hAnsi="Arial" w:cs="Arial"/>
        </w:rPr>
      </w:pPr>
      <w:r>
        <w:rPr>
          <w:rFonts w:ascii="Arial" w:hAnsi="Arial" w:cs="Arial"/>
        </w:rPr>
        <w:lastRenderedPageBreak/>
        <w:t>As NCRF constituem uma adaptação das NIC seguidas na União (embora nem todas estejam consagradas) que pretende ter em conta as características do tecido empresarial português. Poderão dispensar a aplicação de determinados procedimentos e divulgações exigidos nas NIC, mas garantindo, no essencial, os critérios de reconhecimento e mensuração nelas contidos.</w:t>
      </w:r>
      <w:r>
        <w:rPr>
          <w:rFonts w:ascii="Arial" w:hAnsi="Arial" w:cs="Arial"/>
        </w:rPr>
        <w:br/>
        <w:t>São 28 normas propostas pela CNC, publicadas como Avisos no Diário da República, e de aplicação obrigatória a partir da data de eficácia indicada em cada uma delas.</w:t>
      </w:r>
    </w:p>
    <w:p w:rsidR="0028710B" w:rsidRDefault="0028710B" w:rsidP="0028710B">
      <w:pPr>
        <w:pStyle w:val="NormalWeb"/>
        <w:jc w:val="both"/>
        <w:rPr>
          <w:rFonts w:ascii="Arial" w:hAnsi="Arial" w:cs="Arial"/>
        </w:rPr>
      </w:pPr>
      <w:r>
        <w:rPr>
          <w:rFonts w:ascii="Arial" w:hAnsi="Arial" w:cs="Arial"/>
        </w:rPr>
        <w:t>A listagem que se segue ilustra as NCRF e a sua comparação com as normas do IASB ("</w:t>
      </w:r>
      <w:proofErr w:type="spellStart"/>
      <w:r>
        <w:rPr>
          <w:rFonts w:ascii="Arial" w:hAnsi="Arial" w:cs="Arial"/>
        </w:rPr>
        <w:t>International</w:t>
      </w:r>
      <w:proofErr w:type="spellEnd"/>
      <w:r>
        <w:rPr>
          <w:rFonts w:ascii="Arial" w:hAnsi="Arial" w:cs="Arial"/>
        </w:rPr>
        <w:t xml:space="preserve"> </w:t>
      </w:r>
      <w:proofErr w:type="spellStart"/>
      <w:r>
        <w:rPr>
          <w:rFonts w:ascii="Arial" w:hAnsi="Arial" w:cs="Arial"/>
        </w:rPr>
        <w:t>Accounting</w:t>
      </w:r>
      <w:proofErr w:type="spellEnd"/>
      <w:r>
        <w:rPr>
          <w:rFonts w:ascii="Arial" w:hAnsi="Arial" w:cs="Arial"/>
        </w:rPr>
        <w:t xml:space="preserve"> Standards" - IAS - e "</w:t>
      </w:r>
      <w:proofErr w:type="spellStart"/>
      <w:r>
        <w:rPr>
          <w:rFonts w:ascii="Arial" w:hAnsi="Arial" w:cs="Arial"/>
        </w:rPr>
        <w:t>International</w:t>
      </w:r>
      <w:proofErr w:type="spellEnd"/>
      <w:r>
        <w:rPr>
          <w:rFonts w:ascii="Arial" w:hAnsi="Arial" w:cs="Arial"/>
        </w:rPr>
        <w:t xml:space="preserve"> Financial </w:t>
      </w:r>
      <w:proofErr w:type="spellStart"/>
      <w:r>
        <w:rPr>
          <w:rFonts w:ascii="Arial" w:hAnsi="Arial" w:cs="Arial"/>
        </w:rPr>
        <w:t>Reporting</w:t>
      </w:r>
      <w:proofErr w:type="spellEnd"/>
      <w:r>
        <w:rPr>
          <w:rFonts w:ascii="Arial" w:hAnsi="Arial" w:cs="Arial"/>
        </w:rPr>
        <w:t xml:space="preserve"> Standards" - IFRS).</w:t>
      </w:r>
    </w:p>
    <w:p w:rsidR="0028710B" w:rsidRDefault="0028710B" w:rsidP="0028710B">
      <w:pPr>
        <w:pStyle w:val="NormalWeb"/>
        <w:jc w:val="both"/>
        <w:rPr>
          <w:rFonts w:ascii="Arial" w:hAnsi="Arial" w:cs="Arial"/>
        </w:rPr>
      </w:pPr>
      <w:r>
        <w:rPr>
          <w:rStyle w:val="Forte"/>
          <w:rFonts w:ascii="Arial" w:hAnsi="Arial" w:cs="Arial"/>
        </w:rPr>
        <w:t>Normas Contabilísticas e de Relato Financeiro vs. Normas IASB</w:t>
      </w:r>
    </w:p>
    <w:p w:rsidR="0028710B" w:rsidRDefault="0028710B" w:rsidP="005F39C8">
      <w:pPr>
        <w:pStyle w:val="NormalWeb"/>
        <w:rPr>
          <w:rFonts w:ascii="Arial" w:hAnsi="Arial" w:cs="Arial"/>
        </w:rPr>
      </w:pPr>
      <w:r>
        <w:rPr>
          <w:rFonts w:ascii="Arial" w:hAnsi="Arial" w:cs="Arial"/>
        </w:rPr>
        <w:t>1. Estrutura e Conteúdo das Demonstrações Financeiras - IAS 1</w:t>
      </w:r>
      <w:r>
        <w:rPr>
          <w:rFonts w:ascii="Arial" w:hAnsi="Arial" w:cs="Arial"/>
        </w:rPr>
        <w:br/>
        <w:t>2. Demonstração de Fluxos de Caixa - IAS 7</w:t>
      </w:r>
      <w:r>
        <w:rPr>
          <w:rFonts w:ascii="Arial" w:hAnsi="Arial" w:cs="Arial"/>
        </w:rPr>
        <w:br/>
        <w:t>3. Adopção pela primeira vez das Normas Contabilísticas e de Relato Financeiro - IFRS 1</w:t>
      </w:r>
      <w:r>
        <w:rPr>
          <w:rFonts w:ascii="Arial" w:hAnsi="Arial" w:cs="Arial"/>
        </w:rPr>
        <w:br/>
        <w:t>4. Políticas Contabilísticas, Alterações nas Estimativas Contabilísticas e Erros - IAS 8</w:t>
      </w:r>
      <w:r>
        <w:rPr>
          <w:rFonts w:ascii="Arial" w:hAnsi="Arial" w:cs="Arial"/>
        </w:rPr>
        <w:br/>
        <w:t>5. Divulgações de Partes Relacionadas - IAS 24</w:t>
      </w:r>
      <w:r>
        <w:rPr>
          <w:rFonts w:ascii="Arial" w:hAnsi="Arial" w:cs="Arial"/>
        </w:rPr>
        <w:br/>
        <w:t>6. Activos Intangíveis - IAS 38</w:t>
      </w:r>
      <w:r>
        <w:rPr>
          <w:rFonts w:ascii="Arial" w:hAnsi="Arial" w:cs="Arial"/>
        </w:rPr>
        <w:br/>
        <w:t>7. Activos Fixos Tangíveis - IAS 16</w:t>
      </w:r>
      <w:r>
        <w:rPr>
          <w:rFonts w:ascii="Arial" w:hAnsi="Arial" w:cs="Arial"/>
        </w:rPr>
        <w:br/>
        <w:t>8. Activos não correntes detidos para venda e unidades operacionais descontinuadas - IFRS 5</w:t>
      </w:r>
      <w:r>
        <w:rPr>
          <w:rFonts w:ascii="Arial" w:hAnsi="Arial" w:cs="Arial"/>
        </w:rPr>
        <w:br/>
        <w:t>9. Locações - IAS 17</w:t>
      </w:r>
      <w:r>
        <w:rPr>
          <w:rFonts w:ascii="Arial" w:hAnsi="Arial" w:cs="Arial"/>
        </w:rPr>
        <w:br/>
        <w:t>10. Custos de Empréstimos Obtidos - IAS 23</w:t>
      </w:r>
      <w:r>
        <w:rPr>
          <w:rFonts w:ascii="Arial" w:hAnsi="Arial" w:cs="Arial"/>
        </w:rPr>
        <w:br/>
        <w:t>11. Propriedades de Investimento - IAS 40</w:t>
      </w:r>
      <w:r>
        <w:rPr>
          <w:rFonts w:ascii="Arial" w:hAnsi="Arial" w:cs="Arial"/>
        </w:rPr>
        <w:br/>
        <w:t>12. Imparidade de Activos - IAS 36</w:t>
      </w:r>
      <w:r>
        <w:rPr>
          <w:rFonts w:ascii="Arial" w:hAnsi="Arial" w:cs="Arial"/>
        </w:rPr>
        <w:br/>
        <w:t>13. Interesses em Empreendimentos Conjuntos e Investimentos em Associadas - IAS 28 e IAS 31</w:t>
      </w:r>
      <w:r>
        <w:rPr>
          <w:rFonts w:ascii="Arial" w:hAnsi="Arial" w:cs="Arial"/>
        </w:rPr>
        <w:br/>
        <w:t>14. Concentrações de Actividades Empresariais - IFRS 3</w:t>
      </w:r>
      <w:r>
        <w:rPr>
          <w:rFonts w:ascii="Arial" w:hAnsi="Arial" w:cs="Arial"/>
        </w:rPr>
        <w:br/>
        <w:t>15. Investimentos em Subsidiárias e Consolidação - IAS 27</w:t>
      </w:r>
      <w:r>
        <w:rPr>
          <w:rFonts w:ascii="Arial" w:hAnsi="Arial" w:cs="Arial"/>
        </w:rPr>
        <w:br/>
        <w:t>16. Exploração e Avaliação de Recursos Minerais - IFRS 6</w:t>
      </w:r>
      <w:r>
        <w:rPr>
          <w:rFonts w:ascii="Arial" w:hAnsi="Arial" w:cs="Arial"/>
        </w:rPr>
        <w:br/>
        <w:t>17. Agricultura - IAS 41</w:t>
      </w:r>
      <w:r>
        <w:rPr>
          <w:rFonts w:ascii="Arial" w:hAnsi="Arial" w:cs="Arial"/>
        </w:rPr>
        <w:br/>
        <w:t>18. Inventários - IAS 2</w:t>
      </w:r>
      <w:r>
        <w:rPr>
          <w:rFonts w:ascii="Arial" w:hAnsi="Arial" w:cs="Arial"/>
        </w:rPr>
        <w:br/>
        <w:t>19. Contratos de Construção - IAS 11</w:t>
      </w:r>
      <w:r>
        <w:rPr>
          <w:rFonts w:ascii="Arial" w:hAnsi="Arial" w:cs="Arial"/>
        </w:rPr>
        <w:br/>
        <w:t>20. Rédito - IAS 18</w:t>
      </w:r>
      <w:r>
        <w:rPr>
          <w:rFonts w:ascii="Arial" w:hAnsi="Arial" w:cs="Arial"/>
        </w:rPr>
        <w:br/>
        <w:t>21. Provisões, Passivos Contingentes e Activos Contingentes - IAS 37</w:t>
      </w:r>
      <w:r>
        <w:rPr>
          <w:rFonts w:ascii="Arial" w:hAnsi="Arial" w:cs="Arial"/>
        </w:rPr>
        <w:br/>
        <w:t>22. Contabilização dos Subsídios do Governo e Divulgação de Apoios do Governo - IAS 20</w:t>
      </w:r>
      <w:r>
        <w:rPr>
          <w:rFonts w:ascii="Arial" w:hAnsi="Arial" w:cs="Arial"/>
        </w:rPr>
        <w:br/>
        <w:t>23. Os Efeitos de Alterações em Taxas de Câmbio - IAS 21</w:t>
      </w:r>
      <w:r>
        <w:rPr>
          <w:rFonts w:ascii="Arial" w:hAnsi="Arial" w:cs="Arial"/>
        </w:rPr>
        <w:br/>
        <w:t>24. Acontecimentos Após a Data do Balanço - IAS 10</w:t>
      </w:r>
      <w:r>
        <w:rPr>
          <w:rFonts w:ascii="Arial" w:hAnsi="Arial" w:cs="Arial"/>
        </w:rPr>
        <w:br/>
        <w:t>25. Impostos Sobre o Rendimento - IAS 12</w:t>
      </w:r>
      <w:r>
        <w:rPr>
          <w:rFonts w:ascii="Arial" w:hAnsi="Arial" w:cs="Arial"/>
        </w:rPr>
        <w:br/>
        <w:t>26. Matérias Ambientais (sem correspondência)</w:t>
      </w:r>
      <w:r>
        <w:rPr>
          <w:rFonts w:ascii="Arial" w:hAnsi="Arial" w:cs="Arial"/>
        </w:rPr>
        <w:br/>
        <w:t>27. Instrumentos Financeiros - IAS 32, IAS 39 e IFRS 7</w:t>
      </w:r>
      <w:r>
        <w:rPr>
          <w:rFonts w:ascii="Arial" w:hAnsi="Arial" w:cs="Arial"/>
        </w:rPr>
        <w:br/>
        <w:t>28. Benefícios dos Empregados - IAS 19</w:t>
      </w:r>
    </w:p>
    <w:p w:rsidR="0028710B" w:rsidRDefault="0028710B" w:rsidP="0028710B">
      <w:pPr>
        <w:pStyle w:val="NormalWeb"/>
        <w:jc w:val="both"/>
        <w:rPr>
          <w:rFonts w:ascii="Arial" w:hAnsi="Arial" w:cs="Arial"/>
        </w:rPr>
      </w:pPr>
      <w:r>
        <w:rPr>
          <w:rFonts w:ascii="Arial" w:hAnsi="Arial" w:cs="Arial"/>
        </w:rPr>
        <w:t xml:space="preserve">A NCRF-PE é uma norma destinada a entidades de pequena dimensão e com necessidades de relato mais reduzidas. Condensa os principais aspectos de reconhecimento, mensuração e divulgação extraídos das NCRF, tidos como </w:t>
      </w:r>
      <w:r>
        <w:rPr>
          <w:rFonts w:ascii="Arial" w:hAnsi="Arial" w:cs="Arial"/>
        </w:rPr>
        <w:lastRenderedPageBreak/>
        <w:t>requisitos mínimos aplicáveis àquelas entidades.</w:t>
      </w:r>
      <w:r>
        <w:rPr>
          <w:rFonts w:ascii="Arial" w:hAnsi="Arial" w:cs="Arial"/>
        </w:rPr>
        <w:br/>
        <w:t>Em matérias não previstas na NCRF-PE, o regime supletivo é o das NCRF.</w:t>
      </w:r>
    </w:p>
    <w:p w:rsidR="0028710B" w:rsidRDefault="0028710B" w:rsidP="0028710B">
      <w:pPr>
        <w:pStyle w:val="NormalWeb"/>
        <w:jc w:val="both"/>
        <w:rPr>
          <w:rFonts w:ascii="Arial" w:hAnsi="Arial" w:cs="Arial"/>
        </w:rPr>
      </w:pPr>
      <w:r>
        <w:rPr>
          <w:rFonts w:ascii="Arial" w:hAnsi="Arial" w:cs="Arial"/>
        </w:rPr>
        <w:t>Em jeito de conclusão, pode-se dizer que este artigo pretende somente oferecer aos seus leitores uma visão global da maior mudança ocorrida em Portugal na normalização contabilística depois da introdução do POC em 1977.</w:t>
      </w:r>
    </w:p>
    <w:p w:rsidR="0028710B" w:rsidRDefault="0028710B" w:rsidP="00B83CF1">
      <w:pPr>
        <w:spacing w:before="115" w:line="264" w:lineRule="auto"/>
        <w:outlineLvl w:val="2"/>
        <w:rPr>
          <w:rFonts w:ascii="Georgia" w:eastAsia="Times New Roman" w:hAnsi="Georgia" w:cs="Arial"/>
          <w:color w:val="FF0000"/>
          <w:spacing w:val="-12"/>
          <w:sz w:val="42"/>
          <w:szCs w:val="42"/>
          <w:lang w:eastAsia="pt-PT"/>
        </w:rPr>
      </w:pPr>
    </w:p>
    <w:p w:rsidR="00B83CF1" w:rsidRPr="00F25306" w:rsidRDefault="00B83CF1" w:rsidP="00B83CF1">
      <w:pPr>
        <w:spacing w:before="115" w:line="264" w:lineRule="auto"/>
        <w:outlineLvl w:val="2"/>
        <w:rPr>
          <w:rFonts w:ascii="Georgia" w:eastAsia="Times New Roman" w:hAnsi="Georgia" w:cs="Arial"/>
          <w:color w:val="FF0000"/>
          <w:spacing w:val="-12"/>
          <w:sz w:val="40"/>
          <w:szCs w:val="42"/>
          <w:lang w:eastAsia="pt-PT"/>
        </w:rPr>
      </w:pPr>
      <w:bookmarkStart w:id="7" w:name="_Toc290996382"/>
      <w:r w:rsidRPr="00F25306">
        <w:rPr>
          <w:rFonts w:ascii="Georgia" w:eastAsia="Times New Roman" w:hAnsi="Georgia" w:cs="Arial"/>
          <w:color w:val="FF0000"/>
          <w:spacing w:val="-12"/>
          <w:sz w:val="40"/>
          <w:szCs w:val="42"/>
          <w:lang w:eastAsia="pt-PT"/>
        </w:rPr>
        <w:t>NCRF 1 - Estrutura e Conteúdo das Demonstrações Financeiras - Comentário e explicações</w:t>
      </w:r>
      <w:bookmarkEnd w:id="7"/>
      <w:r w:rsidRPr="00F25306">
        <w:rPr>
          <w:rFonts w:ascii="Georgia" w:eastAsia="Times New Roman" w:hAnsi="Georgia" w:cs="Arial"/>
          <w:color w:val="FF0000"/>
          <w:spacing w:val="-12"/>
          <w:sz w:val="40"/>
          <w:szCs w:val="42"/>
          <w:lang w:eastAsia="pt-PT"/>
        </w:rPr>
        <w:t xml:space="preserve"> </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As demonstrações financeiras são uma das peças centrais do trabalho contabilístico.</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No novo Sistema de Normalização Contabilística (SNC), estão contempladas nas Normas Contabilísticas e de Relato Financeiro (NCRF) 1 - Estrutura e Conteúdo das Demonstrações Financeiras - e 2 - Demonstração de Fluxos de Caixa.</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 </w:t>
      </w:r>
    </w:p>
    <w:p w:rsidR="00B83CF1" w:rsidRPr="00B83CF1" w:rsidRDefault="00B83CF1" w:rsidP="00B83CF1">
      <w:pPr>
        <w:spacing w:after="0" w:line="240" w:lineRule="auto"/>
        <w:rPr>
          <w:rFonts w:ascii="Arial" w:eastAsia="Times New Roman" w:hAnsi="Arial" w:cs="Arial"/>
          <w:sz w:val="24"/>
          <w:szCs w:val="24"/>
          <w:lang w:eastAsia="pt-PT"/>
        </w:rPr>
      </w:pPr>
      <w:r w:rsidRPr="00B83CF1">
        <w:rPr>
          <w:rFonts w:ascii="Arial" w:eastAsia="Times New Roman" w:hAnsi="Arial" w:cs="Arial"/>
          <w:sz w:val="24"/>
          <w:szCs w:val="24"/>
          <w:lang w:eastAsia="pt-PT"/>
        </w:rPr>
        <w:br/>
        <w:t xml:space="preserve">O objectivo da NCRF 1 é prescrever as bases quanto à apresentação e estrutura das demonstrações financeiras (exceptuando a Demonstração de Fluxos de Caixa, tratada na NCRF 2), importando referir que partes dessa norma foram consideradas nas "Bases para Apresentação das Demonstrações Financeiras" do SNC (no Decreto-lei que o cria), pelo que não voltam a ser mencionadas. </w:t>
      </w:r>
    </w:p>
    <w:p w:rsidR="00B83CF1" w:rsidRPr="00B83CF1" w:rsidRDefault="00B83CF1" w:rsidP="00B83CF1">
      <w:pPr>
        <w:spacing w:before="58" w:after="115" w:line="240" w:lineRule="auto"/>
        <w:rPr>
          <w:rFonts w:ascii="Arial" w:eastAsia="Times New Roman" w:hAnsi="Arial" w:cs="Arial"/>
          <w:sz w:val="24"/>
          <w:szCs w:val="24"/>
          <w:lang w:eastAsia="pt-PT"/>
        </w:rPr>
      </w:pPr>
      <w:r w:rsidRPr="00B83CF1">
        <w:rPr>
          <w:rFonts w:ascii="Arial" w:eastAsia="Times New Roman" w:hAnsi="Arial" w:cs="Arial"/>
          <w:sz w:val="24"/>
          <w:szCs w:val="24"/>
          <w:lang w:eastAsia="pt-PT"/>
        </w:rPr>
        <w:t>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São, então, quatro os mapas financeiros aludidos na norma - Balanço, Demonstração de Resultados, Demonstração das Alterações no Capital Próprio e Anexo -, nos quais devem ser claramente identificados os seguintes aspectos:</w:t>
      </w:r>
    </w:p>
    <w:p w:rsidR="00B83CF1" w:rsidRPr="00B83CF1" w:rsidRDefault="00B83CF1" w:rsidP="00B83CF1">
      <w:pPr>
        <w:numPr>
          <w:ilvl w:val="0"/>
          <w:numId w:val="1"/>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entidade que relata;</w:t>
      </w:r>
    </w:p>
    <w:p w:rsidR="00B83CF1" w:rsidRPr="00B83CF1" w:rsidRDefault="00B83CF1" w:rsidP="00B83CF1">
      <w:pPr>
        <w:numPr>
          <w:ilvl w:val="0"/>
          <w:numId w:val="1"/>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tipo de contas: individuais ou consolidadas;</w:t>
      </w:r>
    </w:p>
    <w:p w:rsidR="00B83CF1" w:rsidRPr="00B83CF1" w:rsidRDefault="00B83CF1" w:rsidP="00B83CF1">
      <w:pPr>
        <w:numPr>
          <w:ilvl w:val="0"/>
          <w:numId w:val="1"/>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data do Balanço e o período a que se referem as </w:t>
      </w:r>
      <w:proofErr w:type="gramStart"/>
      <w:r w:rsidRPr="00B83CF1">
        <w:rPr>
          <w:rFonts w:ascii="Arial" w:eastAsia="Times New Roman" w:hAnsi="Arial" w:cs="Arial"/>
          <w:sz w:val="24"/>
          <w:szCs w:val="24"/>
          <w:lang w:eastAsia="pt-PT"/>
        </w:rPr>
        <w:t>contas</w:t>
      </w:r>
      <w:proofErr w:type="gramEnd"/>
      <w:r w:rsidRPr="00B83CF1">
        <w:rPr>
          <w:rFonts w:ascii="Arial" w:eastAsia="Times New Roman" w:hAnsi="Arial" w:cs="Arial"/>
          <w:sz w:val="24"/>
          <w:szCs w:val="24"/>
          <w:lang w:eastAsia="pt-PT"/>
        </w:rPr>
        <w:t>;</w:t>
      </w:r>
    </w:p>
    <w:p w:rsidR="00B83CF1" w:rsidRPr="00B83CF1" w:rsidRDefault="00B83CF1" w:rsidP="00B83CF1">
      <w:pPr>
        <w:numPr>
          <w:ilvl w:val="0"/>
          <w:numId w:val="1"/>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moeda de apresentação das contas; e</w:t>
      </w:r>
    </w:p>
    <w:p w:rsidR="00B83CF1" w:rsidRPr="00B83CF1" w:rsidRDefault="00B83CF1" w:rsidP="00B83CF1">
      <w:pPr>
        <w:numPr>
          <w:ilvl w:val="0"/>
          <w:numId w:val="1"/>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nível de arredondamento usado nas demonstrações financeiras.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período de relato deve ser, no mínimo, anual e, havendo alteração da data de relato, tem de haver divulgação explicando a mudança e os problemas de comparabilidade.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O Balanço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informação mínima a constar da face do Balanço consta do respectivo modelo publicado em portaria, sendo que linhas adicionais podem ser apresentadas em função da relevância e das regras contidas em cada norma.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 Balanço, os activos e passivos apresentam-se divididos em correntes e não correntes.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Um activo deve ser classificado como corrente quando: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Se espere que seja realizado, ou que seja detido para venda ou consumo no decurso normal do ciclo operacional da empresa (tempo entre a aquisição de activos para processamento e a sua realização em caixa ou seus equivalentes); ou</w:t>
      </w:r>
      <w:r w:rsidRPr="00B83CF1">
        <w:rPr>
          <w:rFonts w:ascii="Arial" w:eastAsia="Times New Roman" w:hAnsi="Arial" w:cs="Arial"/>
          <w:sz w:val="24"/>
          <w:szCs w:val="24"/>
          <w:lang w:eastAsia="pt-PT"/>
        </w:rPr>
        <w:br/>
        <w:t>b) Se detenha primordialmente para finalidades de negociação ou no curto prazo e se espere que seja realizado dentro de doze meses a partir da data do Balanço; ou</w:t>
      </w:r>
      <w:r w:rsidRPr="00B83CF1">
        <w:rPr>
          <w:rFonts w:ascii="Arial" w:eastAsia="Times New Roman" w:hAnsi="Arial" w:cs="Arial"/>
          <w:sz w:val="24"/>
          <w:szCs w:val="24"/>
          <w:lang w:eastAsia="pt-PT"/>
        </w:rPr>
        <w:br/>
        <w:t>c) For um activo de caixa ou seu equivalente que não esteja restringido na sua utilização.</w:t>
      </w:r>
      <w:r w:rsidRPr="00B83CF1">
        <w:rPr>
          <w:rFonts w:ascii="Arial" w:eastAsia="Times New Roman" w:hAnsi="Arial" w:cs="Arial"/>
          <w:sz w:val="24"/>
          <w:szCs w:val="24"/>
          <w:lang w:eastAsia="pt-PT"/>
        </w:rPr>
        <w:br/>
        <w:t>Todos os outros activos devem ser classificados como não correntes.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 passivo deve ser qualificado como corrente quando:</w:t>
      </w:r>
      <w:r w:rsidRPr="00B83CF1">
        <w:rPr>
          <w:rFonts w:ascii="Arial" w:eastAsia="Times New Roman" w:hAnsi="Arial" w:cs="Arial"/>
          <w:sz w:val="24"/>
          <w:szCs w:val="24"/>
          <w:lang w:eastAsia="pt-PT"/>
        </w:rPr>
        <w:br/>
        <w:t>a) Se espere que seja liquidado no decurso normal do ciclo operacional da empresa; ou</w:t>
      </w:r>
      <w:r w:rsidRPr="00B83CF1">
        <w:rPr>
          <w:rFonts w:ascii="Arial" w:eastAsia="Times New Roman" w:hAnsi="Arial" w:cs="Arial"/>
          <w:sz w:val="24"/>
          <w:szCs w:val="24"/>
          <w:lang w:eastAsia="pt-PT"/>
        </w:rPr>
        <w:br/>
        <w:t>b) É detido com o objectivo principal de negociação; ou</w:t>
      </w:r>
      <w:r w:rsidRPr="00B83CF1">
        <w:rPr>
          <w:rFonts w:ascii="Arial" w:eastAsia="Times New Roman" w:hAnsi="Arial" w:cs="Arial"/>
          <w:sz w:val="24"/>
          <w:szCs w:val="24"/>
          <w:lang w:eastAsia="pt-PT"/>
        </w:rPr>
        <w:br/>
        <w:t>c) Esteja para ser liquidado dentro de doze meses a partir da data do Balanço.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Todos os outros passivos devem ser classificados como não correntes.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Ao nível do Balanço, existem outras subclassificações com a entrada em vigor do SNC, sendo que o pormenor nelas proporcionado depende dos requisitos das NCRF e da natureza e função das quantias envolvidas.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título de exemplo, os acréscimos deixam de estar explicitados de modo claro (não aparecem de forma autónoma) e passam a pertencer à conta «Outras Contas a Receber e a Pagar» e as amortizações acumuladas e os ajustamentos desaparecem da face do Balanço.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 Demonstração de Resultados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informação mínima a constar da face da Demonstração de Resultados consta do respectivo modelo publicado em portaria.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Os itens a apresentar na Demonstração de Resultados deverão basear-se numa classificação que atende à sua natureza, podendo, adicionalmente, ser apresentada uma Demonstração </w:t>
      </w:r>
      <w:proofErr w:type="gramStart"/>
      <w:r w:rsidRPr="00B83CF1">
        <w:rPr>
          <w:rFonts w:ascii="Arial" w:eastAsia="Times New Roman" w:hAnsi="Arial" w:cs="Arial"/>
          <w:sz w:val="24"/>
          <w:szCs w:val="24"/>
          <w:lang w:eastAsia="pt-PT"/>
        </w:rPr>
        <w:t>de</w:t>
      </w:r>
      <w:proofErr w:type="gramEnd"/>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Resultados em que a classificação dos itens se baseie na sua função dentro da entidade.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Não é permitida a classificação e apresentação de quaisquer elementos como extraordinários e os conceitos de Proveitos e Ganhos e Custos e Perdas alteram-se para Rendimentos e Gastos, respectivamente.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Aparecem também pela primeira vez em linha própria na Demonstração de Resultados por Naturezas os Resultados das Actividades Descontinuadas, bem como os Resultados por Acção.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Outro aspecto interessante reside nos Gastos de Investigação e Desenvolvimento, que passam a ser evidenciados em linha autónoma na Demonstração de Resultados por Funções.</w:t>
      </w:r>
    </w:p>
    <w:p w:rsidR="00B83CF1" w:rsidRP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Atente-se na nova designação dos Resultados:</w:t>
      </w:r>
    </w:p>
    <w:tbl>
      <w:tblPr>
        <w:tblW w:w="5000" w:type="pct"/>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2712"/>
        <w:gridCol w:w="6022"/>
      </w:tblGrid>
      <w:tr w:rsidR="00B83CF1" w:rsidRPr="00B83CF1" w:rsidTr="00B83CF1">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before="58" w:after="115" w:line="240" w:lineRule="auto"/>
              <w:jc w:val="both"/>
              <w:rPr>
                <w:rFonts w:ascii="Arial" w:eastAsia="Times New Roman" w:hAnsi="Arial" w:cs="Arial"/>
                <w:color w:val="404040"/>
                <w:sz w:val="24"/>
                <w:szCs w:val="24"/>
                <w:lang w:eastAsia="pt-PT"/>
              </w:rPr>
            </w:pPr>
            <w:r w:rsidRPr="00B83CF1">
              <w:rPr>
                <w:rFonts w:ascii="Arial" w:eastAsia="Times New Roman" w:hAnsi="Arial" w:cs="Arial"/>
                <w:b/>
                <w:bCs/>
                <w:color w:val="404040"/>
                <w:sz w:val="24"/>
                <w:szCs w:val="24"/>
                <w:lang w:eastAsia="pt-PT"/>
              </w:rPr>
              <w:t>POC</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before="58" w:after="115" w:line="240" w:lineRule="auto"/>
              <w:jc w:val="both"/>
              <w:rPr>
                <w:rFonts w:ascii="Arial" w:eastAsia="Times New Roman" w:hAnsi="Arial" w:cs="Arial"/>
                <w:color w:val="404040"/>
                <w:sz w:val="24"/>
                <w:szCs w:val="24"/>
                <w:lang w:eastAsia="pt-PT"/>
              </w:rPr>
            </w:pPr>
            <w:r w:rsidRPr="00B83CF1">
              <w:rPr>
                <w:rFonts w:ascii="Arial" w:eastAsia="Times New Roman" w:hAnsi="Arial" w:cs="Arial"/>
                <w:b/>
                <w:bCs/>
                <w:color w:val="404040"/>
                <w:sz w:val="24"/>
                <w:szCs w:val="24"/>
                <w:lang w:eastAsia="pt-PT"/>
              </w:rPr>
              <w:t>SNC</w:t>
            </w:r>
          </w:p>
        </w:tc>
      </w:tr>
      <w:tr w:rsidR="00B83CF1" w:rsidRPr="00B83CF1" w:rsidTr="00B83CF1">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lastRenderedPageBreak/>
              <w:t>Resultados Operacionais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Resultados antes de depreciações, gastos de financiamento e impostos</w:t>
            </w:r>
            <w:r w:rsidRPr="00B83CF1">
              <w:rPr>
                <w:rFonts w:ascii="Arial" w:eastAsia="Times New Roman" w:hAnsi="Arial" w:cs="Arial"/>
                <w:color w:val="404040"/>
                <w:sz w:val="24"/>
                <w:szCs w:val="24"/>
                <w:lang w:eastAsia="pt-PT"/>
              </w:rPr>
              <w:br/>
              <w:t>Resultado operacional (antes de gastos de financiamento e impostos)</w:t>
            </w:r>
          </w:p>
        </w:tc>
      </w:tr>
      <w:tr w:rsidR="00B83CF1" w:rsidRPr="00B83CF1" w:rsidTr="00B83CF1">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Resultados Financeiros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Resultados de Financiamento</w:t>
            </w:r>
          </w:p>
        </w:tc>
      </w:tr>
      <w:tr w:rsidR="00B83CF1" w:rsidRPr="00B83CF1" w:rsidTr="00B83CF1">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Resultados Extraordinários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Não existe correspondência</w:t>
            </w:r>
          </w:p>
        </w:tc>
      </w:tr>
    </w:tbl>
    <w:p w:rsidR="00B83CF1" w:rsidRPr="00B83CF1" w:rsidRDefault="00B83CF1" w:rsidP="00B83CF1">
      <w:pPr>
        <w:spacing w:after="0"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 </w:t>
      </w:r>
    </w:p>
    <w:p w:rsidR="00B83CF1" w:rsidRPr="00B83CF1" w:rsidRDefault="00B83CF1" w:rsidP="00B83CF1">
      <w:pPr>
        <w:spacing w:after="0"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 Demonstração das Alterações no Capital Próprio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rubricas a incluir na Demonstração das Alterações no Capital Próprio constam do respectivo modelo publicado em portaria.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Esse mapa resume-se a um quadro de dupla entrada que combina informação em linha (itens do capital próprio que se encontram evidenciados no Balanço) com informação em coluna (discriminação dos factos susceptíveis de gerar alterações no capital próprio).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Nesta demonstração, serão visíveis os primeiros impactos no capital próprio resultantes da mudança de referencial contabilístico.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alterações no capital próprio de uma entidade entre duas datas de balanço reflectem o aumento ou a redução nos seus activos líquidos durante o período, com excepção das alterações resultantes de transacções com detentores de capital próprio.</w:t>
      </w:r>
    </w:p>
    <w:p w:rsidR="00B83CF1" w:rsidRPr="00B83CF1" w:rsidRDefault="00B83CF1" w:rsidP="00B83CF1">
      <w:pPr>
        <w:spacing w:before="58" w:after="115" w:line="240" w:lineRule="auto"/>
        <w:jc w:val="both"/>
        <w:rPr>
          <w:rFonts w:ascii="Arial" w:eastAsia="Times New Roman" w:hAnsi="Arial" w:cs="Arial"/>
          <w:sz w:val="24"/>
          <w:szCs w:val="24"/>
          <w:lang w:eastAsia="pt-PT"/>
        </w:rPr>
      </w:pPr>
      <w:proofErr w:type="gramStart"/>
      <w:r w:rsidRPr="00B83CF1">
        <w:rPr>
          <w:rFonts w:ascii="Arial" w:eastAsia="Times New Roman" w:hAnsi="Arial" w:cs="Arial"/>
          <w:sz w:val="24"/>
          <w:szCs w:val="24"/>
          <w:lang w:eastAsia="pt-PT"/>
        </w:rPr>
        <w:t>Essa alteração no capital próprio representa a quantia total de rendimentos e gastos, quer esses itens sejam reconhecidos</w:t>
      </w:r>
      <w:proofErr w:type="gramEnd"/>
      <w:r w:rsidRPr="00B83CF1">
        <w:rPr>
          <w:rFonts w:ascii="Arial" w:eastAsia="Times New Roman" w:hAnsi="Arial" w:cs="Arial"/>
          <w:sz w:val="24"/>
          <w:szCs w:val="24"/>
          <w:lang w:eastAsia="pt-PT"/>
        </w:rPr>
        <w:t xml:space="preserve"> nos resultados ou directamente como alterações no capital próprio.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O Anexo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Anexo, tal como o nome </w:t>
      </w:r>
      <w:proofErr w:type="gramStart"/>
      <w:r w:rsidRPr="00B83CF1">
        <w:rPr>
          <w:rFonts w:ascii="Arial" w:eastAsia="Times New Roman" w:hAnsi="Arial" w:cs="Arial"/>
          <w:sz w:val="24"/>
          <w:szCs w:val="24"/>
          <w:lang w:eastAsia="pt-PT"/>
        </w:rPr>
        <w:t>indica</w:t>
      </w:r>
      <w:proofErr w:type="gramEnd"/>
      <w:r w:rsidRPr="00B83CF1">
        <w:rPr>
          <w:rFonts w:ascii="Arial" w:eastAsia="Times New Roman" w:hAnsi="Arial" w:cs="Arial"/>
          <w:sz w:val="24"/>
          <w:szCs w:val="24"/>
          <w:lang w:eastAsia="pt-PT"/>
        </w:rPr>
        <w:t>, destina-se a proporcionar informação de suporte que não seja apresentada na face das demais demonstrações financeiras.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Designadamente, deve ser divulgado um resumo das principais políticas contabilísticas - bases de mensuração usadas na preparação das demonstrações financeiras e outras políticas contabilísticas que sejam relevantes para uma melhor compreensão das mesmas -, bem como divulgações exigidas pelas NCRF e por diplomas legais.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Devem ainda ser divulgados pressupostos relativos ao futuro e principais fontes de incerteza das estimativas à data do balanço que tenham um risco material de provocar um ajustamento (material) nas quantias escrituradas de activos e passivos durante o período contabilístico posterior.</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notas do Anexo devem ser apresentadas de uma forma sistemática e com referências cruzadas para os itens constantes das demonstrações financeiras, ressalvando-se que as primeiras quatro notas devem impreterivelmente ser explicitadas com a seguinte ordem:</w:t>
      </w:r>
    </w:p>
    <w:p w:rsidR="00B83CF1" w:rsidRPr="00B83CF1" w:rsidRDefault="00B83CF1" w:rsidP="00B83CF1">
      <w:pPr>
        <w:numPr>
          <w:ilvl w:val="0"/>
          <w:numId w:val="2"/>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Identificação da entidade, incluindo domicílio, natureza da actividade, nome e sede da empresa-mãe, se aplicável;</w:t>
      </w:r>
    </w:p>
    <w:p w:rsidR="00B83CF1" w:rsidRPr="00B83CF1" w:rsidRDefault="00B83CF1" w:rsidP="00B83CF1">
      <w:pPr>
        <w:numPr>
          <w:ilvl w:val="0"/>
          <w:numId w:val="2"/>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Referencial contabilístico de preparação das demonstrações financeiras;</w:t>
      </w:r>
    </w:p>
    <w:p w:rsidR="00B83CF1" w:rsidRPr="00B83CF1" w:rsidRDefault="00B83CF1" w:rsidP="00B83CF1">
      <w:pPr>
        <w:numPr>
          <w:ilvl w:val="0"/>
          <w:numId w:val="2"/>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Resumo das principais políticas contabilísticas adoptadas;</w:t>
      </w:r>
    </w:p>
    <w:p w:rsidR="00B83CF1" w:rsidRPr="00B83CF1" w:rsidRDefault="00B83CF1" w:rsidP="00B83CF1">
      <w:pPr>
        <w:numPr>
          <w:ilvl w:val="0"/>
          <w:numId w:val="2"/>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Informação de suporte de itens apresentados nas outras quatro demonstrações financeiras, pela ordem em que cada demonstração e cada linha de item seja apresentada.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outras notas poderão ter uma numeração mais flexível, em função do entendimento do responsável pela sua produção, mas deverão ser mencionados passivos contingentes e compromissos contratuais não reconhecidos, divulgações exigidas por diplomas legais e informações de carácter ambiental.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Conclusão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demonstrações financeiras são o "output" da actividade contabilística desenvolvida no seio das empresas e destinam-se especialmente à leitura e análise por parte de "</w:t>
      </w:r>
      <w:proofErr w:type="spellStart"/>
      <w:r w:rsidRPr="00B83CF1">
        <w:rPr>
          <w:rFonts w:ascii="Arial" w:eastAsia="Times New Roman" w:hAnsi="Arial" w:cs="Arial"/>
          <w:sz w:val="24"/>
          <w:szCs w:val="24"/>
          <w:lang w:eastAsia="pt-PT"/>
        </w:rPr>
        <w:t>shareholders</w:t>
      </w:r>
      <w:proofErr w:type="spellEnd"/>
      <w:r w:rsidRPr="00B83CF1">
        <w:rPr>
          <w:rFonts w:ascii="Arial" w:eastAsia="Times New Roman" w:hAnsi="Arial" w:cs="Arial"/>
          <w:sz w:val="24"/>
          <w:szCs w:val="24"/>
          <w:lang w:eastAsia="pt-PT"/>
        </w:rPr>
        <w:t>" e "</w:t>
      </w:r>
      <w:proofErr w:type="spellStart"/>
      <w:r w:rsidRPr="00B83CF1">
        <w:rPr>
          <w:rFonts w:ascii="Arial" w:eastAsia="Times New Roman" w:hAnsi="Arial" w:cs="Arial"/>
          <w:sz w:val="24"/>
          <w:szCs w:val="24"/>
          <w:lang w:eastAsia="pt-PT"/>
        </w:rPr>
        <w:t>stakeholders</w:t>
      </w:r>
      <w:proofErr w:type="spellEnd"/>
      <w:r w:rsidRPr="00B83CF1">
        <w:rPr>
          <w:rFonts w:ascii="Arial" w:eastAsia="Times New Roman" w:hAnsi="Arial" w:cs="Arial"/>
          <w:sz w:val="24"/>
          <w:szCs w:val="24"/>
          <w:lang w:eastAsia="pt-PT"/>
        </w:rPr>
        <w:t>".</w:t>
      </w:r>
    </w:p>
    <w:p w:rsid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cumprimento da NCRF 1 é, assim, de extrema importância para que as demonstrações consigam, em conformidade com as normas e os princípios do SNC, transmitir a saúde económica e financeira das empresas.</w:t>
      </w:r>
    </w:p>
    <w:p w:rsidR="00F25306" w:rsidRPr="00B83CF1" w:rsidRDefault="00F25306" w:rsidP="00B83CF1">
      <w:pPr>
        <w:spacing w:before="58" w:line="240" w:lineRule="auto"/>
        <w:jc w:val="both"/>
        <w:rPr>
          <w:rFonts w:ascii="Arial" w:eastAsia="Times New Roman" w:hAnsi="Arial" w:cs="Arial"/>
          <w:sz w:val="24"/>
          <w:szCs w:val="24"/>
          <w:lang w:eastAsia="pt-PT"/>
        </w:rPr>
      </w:pPr>
    </w:p>
    <w:p w:rsidR="00B83CF1" w:rsidRDefault="00B83CF1" w:rsidP="00B83CF1">
      <w:pPr>
        <w:spacing w:before="115" w:line="264" w:lineRule="auto"/>
        <w:outlineLvl w:val="2"/>
        <w:rPr>
          <w:rFonts w:ascii="Georgia" w:hAnsi="Georgia" w:cs="Arial"/>
          <w:color w:val="FF0000"/>
          <w:spacing w:val="-12"/>
          <w:sz w:val="42"/>
          <w:szCs w:val="42"/>
        </w:rPr>
      </w:pPr>
      <w:bookmarkStart w:id="8" w:name="_Toc290996383"/>
      <w:r w:rsidRPr="00B83CF1">
        <w:rPr>
          <w:rFonts w:ascii="Georgia" w:hAnsi="Georgia" w:cs="Arial"/>
          <w:color w:val="FF0000"/>
          <w:spacing w:val="-12"/>
          <w:sz w:val="42"/>
          <w:szCs w:val="42"/>
        </w:rPr>
        <w:t>NCRF 2 - Demonstração dos Fluxos de Caixa - Comentário e explicações</w:t>
      </w:r>
      <w:bookmarkEnd w:id="8"/>
    </w:p>
    <w:p w:rsidR="00B83CF1" w:rsidRPr="00B83CF1" w:rsidRDefault="00B83CF1" w:rsidP="00B83CF1">
      <w:pPr>
        <w:spacing w:after="0"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A Demonstração dos Fluxos de Caixa é uma das demonstrações financeiras previstas no novo Sistema de Normalização Contabilística (SNC).</w:t>
      </w:r>
    </w:p>
    <w:p w:rsidR="00B83CF1" w:rsidRPr="00B83CF1" w:rsidRDefault="00B83CF1" w:rsidP="00B83CF1">
      <w:pPr>
        <w:spacing w:after="0"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br/>
        <w:t>Tem por base a IAS 7 - Demonstração de Fluxos de Caixa e é de apresentação obrigatória por todas as empresas que apliquem as Normas Contabilísticas e de Relato Financeiro (NCRF), não estando prevista, no entanto, para entidades abrangidas pela Norma Contabilística e de Relato Financeiro para Pequenas Entidades (NCRF-PE).</w:t>
      </w:r>
    </w:p>
    <w:p w:rsidR="00B83CF1" w:rsidRPr="00B83CF1" w:rsidRDefault="00B83CF1" w:rsidP="00B83CF1">
      <w:pPr>
        <w:spacing w:before="58" w:after="115" w:line="240" w:lineRule="auto"/>
        <w:rPr>
          <w:rFonts w:ascii="Arial" w:eastAsia="Times New Roman" w:hAnsi="Arial" w:cs="Arial"/>
          <w:sz w:val="24"/>
          <w:szCs w:val="24"/>
          <w:lang w:eastAsia="pt-PT"/>
        </w:rPr>
      </w:pPr>
      <w:r w:rsidRPr="00B83CF1">
        <w:rPr>
          <w:rFonts w:ascii="Arial" w:eastAsia="Times New Roman" w:hAnsi="Arial" w:cs="Arial"/>
          <w:sz w:val="24"/>
          <w:szCs w:val="24"/>
          <w:lang w:eastAsia="pt-PT"/>
        </w:rPr>
        <w:t>Este mapa financeiro permite conhecer como foi gerado e utilizado o dinheiro no período em análise.</w:t>
      </w:r>
    </w:p>
    <w:p w:rsidR="00B83CF1" w:rsidRPr="00B83CF1" w:rsidRDefault="00B83CF1" w:rsidP="00B83CF1">
      <w:pPr>
        <w:spacing w:after="0"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Na generalidade das empresas, nem sempre existe uma correlação entre os resultados apurados (Rendimentos - Gastos) e os fluxos de caixa (Recebimentos - Pagamentos).</w:t>
      </w:r>
    </w:p>
    <w:p w:rsidR="00B83CF1" w:rsidRPr="00B83CF1" w:rsidRDefault="00B83CF1" w:rsidP="00B83CF1">
      <w:pPr>
        <w:spacing w:after="0"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fluxos de caixa fornecem informação que se reveste de grande utilidade para estabelecer essa ligação, na medida em que permitem melhorar o conhecimento das variações ocorridas na estrutura financeira (incluindo a liquidez e a solvabilidade) e da capacidade da empresa para fazer face aos seus compromissos no futuro.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Componentes da Demonstração dos Fluxos de Caixa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Alguns termos importantes a considerar para compreender esta demonstração são os </w:t>
      </w:r>
      <w:proofErr w:type="gramStart"/>
      <w:r w:rsidRPr="00B83CF1">
        <w:rPr>
          <w:rFonts w:ascii="Arial" w:eastAsia="Times New Roman" w:hAnsi="Arial" w:cs="Arial"/>
          <w:sz w:val="24"/>
          <w:szCs w:val="24"/>
          <w:lang w:eastAsia="pt-PT"/>
        </w:rPr>
        <w:t>de</w:t>
      </w:r>
      <w:proofErr w:type="gramEnd"/>
      <w:r w:rsidRPr="00B83CF1">
        <w:rPr>
          <w:rFonts w:ascii="Arial" w:eastAsia="Times New Roman" w:hAnsi="Arial" w:cs="Arial"/>
          <w:sz w:val="24"/>
          <w:szCs w:val="24"/>
          <w:lang w:eastAsia="pt-PT"/>
        </w:rPr>
        <w:t>:</w:t>
      </w:r>
    </w:p>
    <w:p w:rsidR="00B83CF1" w:rsidRPr="00B83CF1" w:rsidRDefault="00B83CF1" w:rsidP="00B83CF1">
      <w:pPr>
        <w:numPr>
          <w:ilvl w:val="0"/>
          <w:numId w:val="3"/>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Caixa: constituído por dinheiro e depósitos à ordem; </w:t>
      </w:r>
    </w:p>
    <w:p w:rsidR="00B83CF1" w:rsidRPr="00B83CF1" w:rsidRDefault="00B83CF1" w:rsidP="00B83CF1">
      <w:pPr>
        <w:numPr>
          <w:ilvl w:val="0"/>
          <w:numId w:val="3"/>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Equivalentes de caixa: investimentos financeiros a curto prazo, altamente líquidos e prontamente convertíveis para quantias conhecidas de dinheiro (até três meses) e que estejam sujeitos a um risco insignificante de alterações de valor; e </w:t>
      </w:r>
    </w:p>
    <w:p w:rsidR="00B83CF1" w:rsidRPr="00B83CF1" w:rsidRDefault="00B83CF1" w:rsidP="00B83CF1">
      <w:pPr>
        <w:numPr>
          <w:ilvl w:val="0"/>
          <w:numId w:val="3"/>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Fluxos de caixa: entradas em caixa (recebimentos) e saídas de caixa (pagamentos) e seus equivalentes.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Outros conceitos de extrema relevância relacionam-se com a tipologia das actividades, as quais se encontram subdivididas em operacionais, de investimento e de financiamento.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actividades operacionais são as que constituem o objecto da actividade da empresa e outras que não sejam de considerar como actividades de investimento ou de financiamento.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actividades de investimento correspondem à aquisição e alienação de imobilizações corpóreas e aplicações financeiras não consideradas equivalentes a caixa.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Quanto às actividades de financiamento, estas são as que resultam de alterações na extensão e composição dos empréstimos obtidos e do capital próprio da empresa.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Actividades Operacionais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recebimentos ou pagamentos gerados ou utilizados pelas actividades operacionais são um indicador da capacidade da empresa para gerar meios de pagamento suficientes para manter a capacidade operacional, reembolsar empréstimos, pagar dividendos e fazer investimentos de substituição, sem ter de recorrer a capitais alheios.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São exemplos de fluxos de caixa de actividades operacionais os recebimentos provenientes da venda de bens e prestações de serviços ou os recebimentos relativos a royalties, honorários, comissões e outros réditos, bem como os pagamentos de compras de bens e serviços e ao pessoal.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Também os pagamentos e reembolsos do Imposto sobre o Rendimento das Pessoas Colectivas (IRC), os pagamentos e recebimentos inerentes a contratos relacionados com a actividade normal da empresa e os fluxos de caixa originados pela compra ou venda de títulos e empréstimos para finalidades de negócio constituem fluxos de caixa operacionais.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Como é fácil de perceber, o ideal é apresentar este fluxo positivo.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Actividades de Investimento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informação relativa aos recebimentos e pagamentos relacionados com este tipo de actividade é relevante, uma vez que mostra a extensão dos dispêndios feitos para a obtenção de recursos que tenham em vista gerar resultados e fluxos de caixa.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É natural que este fluxo seja negativo, porque o valor de compra de novos activos é normalmente superior ao valor de venda dos mesmos.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São exemplos de fluxos de caixa originados por estas actividades os pagamentos relativos à aquisição de activos fixos, os recebimentos relativos à </w:t>
      </w:r>
      <w:r w:rsidRPr="00B83CF1">
        <w:rPr>
          <w:rFonts w:ascii="Arial" w:eastAsia="Times New Roman" w:hAnsi="Arial" w:cs="Arial"/>
          <w:sz w:val="24"/>
          <w:szCs w:val="24"/>
          <w:lang w:eastAsia="pt-PT"/>
        </w:rPr>
        <w:lastRenderedPageBreak/>
        <w:t xml:space="preserve">venda dos mesmos, os pagamentos da aquisição de partes de capital, de obrigações e de outras dívidas, assim como os recebimentos relativos à sua alienação, os adiantamentos e empréstimos concedidos e os pagamentos e recebimentos inerentes a contratos de futuros, </w:t>
      </w:r>
      <w:proofErr w:type="spellStart"/>
      <w:r w:rsidRPr="00B83CF1">
        <w:rPr>
          <w:rFonts w:ascii="Arial" w:eastAsia="Times New Roman" w:hAnsi="Arial" w:cs="Arial"/>
          <w:sz w:val="24"/>
          <w:szCs w:val="24"/>
          <w:lang w:eastAsia="pt-PT"/>
        </w:rPr>
        <w:t>forwards</w:t>
      </w:r>
      <w:proofErr w:type="spellEnd"/>
      <w:r w:rsidRPr="00B83CF1">
        <w:rPr>
          <w:rFonts w:ascii="Arial" w:eastAsia="Times New Roman" w:hAnsi="Arial" w:cs="Arial"/>
          <w:sz w:val="24"/>
          <w:szCs w:val="24"/>
          <w:lang w:eastAsia="pt-PT"/>
        </w:rPr>
        <w:t>, opções e swaps, excepto quando tais contratos constituam actividade operacional.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Actividades de Financiamento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informação relativa aos recebimentos e pagamentos relacionados com este tipo de actividades permite estimar as necessidades de meios de pagamento e de novas entradas de capital e proporcionar aos financiadores informação sobre a capacidade da empresa para os reembolsar.</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 alguma forma, estes fluxos cobrem os outros dois supramencionados, mais especificamente os fluxos das actividades de investimento.</w:t>
      </w:r>
      <w:r w:rsidRPr="00B83CF1">
        <w:rPr>
          <w:rFonts w:ascii="Arial" w:eastAsia="Times New Roman" w:hAnsi="Arial" w:cs="Arial"/>
          <w:sz w:val="24"/>
          <w:szCs w:val="24"/>
          <w:lang w:eastAsia="pt-PT"/>
        </w:rPr>
        <w:br/>
        <w:t>São exemplos os recebimentos provenientes da realização de acções (quotas), prémios de emissão e prestações suplementares, o pagamento por aquisição de acções (quotas) próprias, redução de capital ou amortização de acções (quotas), os recebimentos provenientes de empréstimos obtidos, o reembolso dos empréstimos obtidos e os pagamentos das amortizações relativas a contratos de locação financeira.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Métodos Directo e Indirecto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Existem dois métodos de apresentação da Demonstração dos Fluxos de Caixa - directo e indirecto.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Contudo, tecnicamente, o método indirecto reveste-se de menor importância, dado que foi eliminado no período de discussão do SNC.</w:t>
      </w:r>
      <w:r w:rsidRPr="00B83CF1">
        <w:rPr>
          <w:rFonts w:ascii="Arial" w:eastAsia="Times New Roman" w:hAnsi="Arial" w:cs="Arial"/>
          <w:sz w:val="24"/>
          <w:szCs w:val="24"/>
          <w:lang w:eastAsia="pt-PT"/>
        </w:rPr>
        <w:br/>
        <w:t>O método directo é aquele em que são divulgados os principais componentes dos recebimentos e dos pagamentos de caixa, permitindo aos utentes compreender o modo como a empresa gera e utiliza os meios de pagamento.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método indirecto é aquele em que o Resultado Líquido do Exercício é ajustado, de forma a se excluírem os efeitos de transacções que não sejam a dinheiro, acréscimos e diferimentos passados ou futuros e contas de proveitos ou custos relacionados com fluxos de caixa respeitantes às actividades de investimento ou de financiamento.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Notas finais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Demonstração dos Fluxos de Caixa é um importante documento de informação financeira e indispensável ferramenta administrativa, não só no âmbito de uma mera gestão de tesouraria, mas igualmente nos mais latos domínios do governo corporativo.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Deve ser utilizada como um instrumento de detecção de sinais de alerta contra possíveis riscos de fragilidade momentânea ou, até mesmo, de insolvência e, suplementarmente, para ajuda na determinação e/ou correcção do caminho a seguir no negócio.</w:t>
      </w:r>
    </w:p>
    <w:p w:rsidR="00B83CF1" w:rsidRP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Peter </w:t>
      </w:r>
      <w:proofErr w:type="spellStart"/>
      <w:r w:rsidRPr="00B83CF1">
        <w:rPr>
          <w:rFonts w:ascii="Arial" w:eastAsia="Times New Roman" w:hAnsi="Arial" w:cs="Arial"/>
          <w:sz w:val="24"/>
          <w:szCs w:val="24"/>
          <w:lang w:eastAsia="pt-PT"/>
        </w:rPr>
        <w:t>Drucker</w:t>
      </w:r>
      <w:proofErr w:type="spellEnd"/>
      <w:r w:rsidRPr="00B83CF1">
        <w:rPr>
          <w:rFonts w:ascii="Arial" w:eastAsia="Times New Roman" w:hAnsi="Arial" w:cs="Arial"/>
          <w:sz w:val="24"/>
          <w:szCs w:val="24"/>
          <w:lang w:eastAsia="pt-PT"/>
        </w:rPr>
        <w:t>, considerado o «Pai» da Gestão Moderna, defende, na sua extensa obra, que uma empresa pode operar sem lucros por muitos anos, desde que possua um fluxo de caixa adequado, mas que o oposto não é aconselhável, realçando assim o efeito nefasto de um aperto de liquidez.</w:t>
      </w:r>
    </w:p>
    <w:p w:rsidR="00B83CF1" w:rsidRPr="00F25306" w:rsidRDefault="00B83CF1" w:rsidP="00B83CF1">
      <w:pPr>
        <w:spacing w:before="115" w:line="264" w:lineRule="auto"/>
        <w:outlineLvl w:val="2"/>
        <w:rPr>
          <w:rFonts w:ascii="Georgia" w:hAnsi="Georgia" w:cs="Arial"/>
          <w:color w:val="FF0000"/>
          <w:spacing w:val="-12"/>
          <w:sz w:val="40"/>
          <w:szCs w:val="42"/>
        </w:rPr>
      </w:pPr>
      <w:bookmarkStart w:id="9" w:name="_Toc290996384"/>
      <w:r w:rsidRPr="00F25306">
        <w:rPr>
          <w:rFonts w:ascii="Georgia" w:hAnsi="Georgia" w:cs="Arial"/>
          <w:color w:val="FF0000"/>
          <w:spacing w:val="-12"/>
          <w:sz w:val="40"/>
          <w:szCs w:val="42"/>
        </w:rPr>
        <w:lastRenderedPageBreak/>
        <w:t>NCRF 3 - Adopção pela primeira vez das Normas Contabilísticas e de Relato Financeiro - Comentário e explicações</w:t>
      </w:r>
      <w:bookmarkEnd w:id="9"/>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A NCRF 3 é uma norma de transição para o novo referencial contabilístico português, o Sistema de Normalização Contabilística (SNC).</w:t>
      </w:r>
      <w:r w:rsidRPr="00B83CF1">
        <w:rPr>
          <w:rFonts w:ascii="Arial" w:eastAsia="Times New Roman" w:hAnsi="Arial" w:cs="Arial"/>
          <w:b/>
          <w:bCs/>
          <w:color w:val="444444"/>
          <w:sz w:val="21"/>
          <w:szCs w:val="21"/>
          <w:lang w:eastAsia="pt-PT"/>
        </w:rPr>
        <w:br/>
        <w:t xml:space="preserve">Destina-se fundamentalmente a garantir que as primeiras demonstrações financeiras de uma entidade elaboradas de acordo com o SNC contenham informação </w:t>
      </w:r>
      <w:proofErr w:type="gramStart"/>
      <w:r w:rsidRPr="00B83CF1">
        <w:rPr>
          <w:rFonts w:ascii="Arial" w:eastAsia="Times New Roman" w:hAnsi="Arial" w:cs="Arial"/>
          <w:b/>
          <w:bCs/>
          <w:color w:val="444444"/>
          <w:sz w:val="21"/>
          <w:szCs w:val="21"/>
          <w:lang w:eastAsia="pt-PT"/>
        </w:rPr>
        <w:t>que</w:t>
      </w:r>
      <w:proofErr w:type="gramEnd"/>
      <w:r w:rsidRPr="00B83CF1">
        <w:rPr>
          <w:rFonts w:ascii="Arial" w:eastAsia="Times New Roman" w:hAnsi="Arial" w:cs="Arial"/>
          <w:b/>
          <w:bCs/>
          <w:color w:val="444444"/>
          <w:sz w:val="21"/>
          <w:szCs w:val="21"/>
          <w:lang w:eastAsia="pt-PT"/>
        </w:rPr>
        <w:t>:</w:t>
      </w:r>
    </w:p>
    <w:p w:rsidR="00B83CF1" w:rsidRPr="00B83CF1" w:rsidRDefault="00B83CF1" w:rsidP="00B83CF1">
      <w:pPr>
        <w:spacing w:before="58" w:after="115" w:line="240" w:lineRule="auto"/>
        <w:rPr>
          <w:rFonts w:ascii="Arial" w:eastAsia="Times New Roman" w:hAnsi="Arial" w:cs="Arial"/>
          <w:sz w:val="24"/>
          <w:szCs w:val="24"/>
          <w:lang w:eastAsia="pt-PT"/>
        </w:rPr>
      </w:pPr>
      <w:r w:rsidRPr="00B83CF1">
        <w:rPr>
          <w:rFonts w:ascii="Arial" w:eastAsia="Times New Roman" w:hAnsi="Arial" w:cs="Arial"/>
          <w:sz w:val="24"/>
          <w:szCs w:val="24"/>
          <w:lang w:eastAsia="pt-PT"/>
        </w:rPr>
        <w:t> </w:t>
      </w:r>
    </w:p>
    <w:p w:rsidR="00B83CF1" w:rsidRPr="00B83CF1" w:rsidRDefault="00B83CF1" w:rsidP="00B83CF1">
      <w:pPr>
        <w:numPr>
          <w:ilvl w:val="0"/>
          <w:numId w:val="4"/>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Seja transparente para os utentes e comparável em todos os períodos apresentados;</w:t>
      </w:r>
    </w:p>
    <w:p w:rsidR="00B83CF1" w:rsidRPr="00B83CF1" w:rsidRDefault="00B83CF1" w:rsidP="00B83CF1">
      <w:pPr>
        <w:numPr>
          <w:ilvl w:val="0"/>
          <w:numId w:val="4"/>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Proporcione um ponto de partida adequado para a contabilização segundo as NCRF; e</w:t>
      </w:r>
    </w:p>
    <w:p w:rsidR="00B83CF1" w:rsidRPr="00B83CF1" w:rsidRDefault="00B83CF1" w:rsidP="00B83CF1">
      <w:pPr>
        <w:numPr>
          <w:ilvl w:val="0"/>
          <w:numId w:val="4"/>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Possa ser gerada a um custo que não exceda o benefício para os utentes.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Tem por base a IFRS 1 - Adopção pela primeira vez das Normas Internacionais e de Relato Financeiro e deve ser aplicada nas primeiras demonstrações financeiras anuais de acordo com as NCRF, explicitando-se que é a primeira vez que a entidade está a usar essas normas.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Deverá similarmente haver uma declaração explícita nessas demonstrações de que as mesmas estão em conformidade com as NCRF.</w:t>
      </w:r>
      <w:r w:rsidRPr="00B83CF1">
        <w:rPr>
          <w:rFonts w:ascii="Arial" w:eastAsia="Times New Roman" w:hAnsi="Arial" w:cs="Arial"/>
          <w:sz w:val="24"/>
          <w:szCs w:val="24"/>
          <w:lang w:eastAsia="pt-PT"/>
        </w:rPr>
        <w:br/>
        <w:t>A entidade que adopte pela primeira vez as NCRF terá que atentar nos seguintes aspectos:</w:t>
      </w:r>
    </w:p>
    <w:p w:rsidR="00B83CF1" w:rsidRPr="00B83CF1" w:rsidRDefault="00B83CF1" w:rsidP="00B83CF1">
      <w:pPr>
        <w:numPr>
          <w:ilvl w:val="0"/>
          <w:numId w:val="5"/>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Elaboração de um balanço de abertura de acordo com as NCRF;</w:t>
      </w:r>
    </w:p>
    <w:p w:rsidR="00B83CF1" w:rsidRPr="00B83CF1" w:rsidRDefault="00B83CF1" w:rsidP="00B83CF1">
      <w:pPr>
        <w:numPr>
          <w:ilvl w:val="0"/>
          <w:numId w:val="5"/>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Escolha das isenções pretendidas;</w:t>
      </w:r>
    </w:p>
    <w:p w:rsidR="00B83CF1" w:rsidRPr="00B83CF1" w:rsidRDefault="00B83CF1" w:rsidP="00B83CF1">
      <w:pPr>
        <w:numPr>
          <w:ilvl w:val="0"/>
          <w:numId w:val="5"/>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Não aplicação retrospectiva de alguns aspectos das NCRF.</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Balanço de Abertura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 conceito de grande importância no contexto desta norma é o de balanço de abertura de acordo com as NCRF - este balanço é o ponto de partida de contabilização de acordo com as NCRF e que servirá de comparativo nas primeiras demonstrações financeiras de acordo com as NCRF.</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Devem ser adoptadas as mesmas políticas contabilísticas no balanço de abertura e nas primeiras demonstrações financeiras.</w:t>
      </w:r>
      <w:r w:rsidRPr="00B83CF1">
        <w:rPr>
          <w:rFonts w:ascii="Arial" w:eastAsia="Times New Roman" w:hAnsi="Arial" w:cs="Arial"/>
          <w:sz w:val="24"/>
          <w:szCs w:val="24"/>
          <w:lang w:eastAsia="pt-PT"/>
        </w:rPr>
        <w:br/>
        <w:t>No seu balanço de abertura, uma entidade deve: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Reconhecer todos os activos e passivos cujo reconhecimento seja exigido pelas NCRF;</w:t>
      </w:r>
      <w:r w:rsidRPr="00B83CF1">
        <w:rPr>
          <w:rFonts w:ascii="Arial" w:eastAsia="Times New Roman" w:hAnsi="Arial" w:cs="Arial"/>
          <w:sz w:val="24"/>
          <w:szCs w:val="24"/>
          <w:lang w:eastAsia="pt-PT"/>
        </w:rPr>
        <w:br/>
        <w:t>b) Não reconhecer itens como activos ou passivos se as NCRF não permitirem esse reconhecimento;</w:t>
      </w:r>
      <w:r w:rsidRPr="00B83CF1">
        <w:rPr>
          <w:rFonts w:ascii="Arial" w:eastAsia="Times New Roman" w:hAnsi="Arial" w:cs="Arial"/>
          <w:sz w:val="24"/>
          <w:szCs w:val="24"/>
          <w:lang w:eastAsia="pt-PT"/>
        </w:rPr>
        <w:br/>
        <w:t>c) Reclassificar itens de balanço que eram de um determinado tipo no Plano Oficial de Contabilidade (POC) e são de outro no SNC;</w:t>
      </w:r>
      <w:r w:rsidRPr="00B83CF1">
        <w:rPr>
          <w:rFonts w:ascii="Arial" w:eastAsia="Times New Roman" w:hAnsi="Arial" w:cs="Arial"/>
          <w:sz w:val="24"/>
          <w:szCs w:val="24"/>
          <w:lang w:eastAsia="pt-PT"/>
        </w:rPr>
        <w:br/>
        <w:t>d) Aplicar as NCRF na mensuração de todos os activos e passivos reconhecidos.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Note-se que os activos e passivos que já eram reconhecidos à luz do POC e que continuarão a ser à luz do SNC, poderão manter exactamente as mesmas quantias ou vê-las alteradas em função das normas aplicáveis, gerando ajustamentos de mudança que devem ser levados à conta de Resultados Transitados ou a outro item do capital próprio, caso seja mais apropriado.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 xml:space="preserve">Reclassificações e reconhecimento e </w:t>
      </w:r>
      <w:proofErr w:type="spellStart"/>
      <w:r w:rsidRPr="00B83CF1">
        <w:rPr>
          <w:rFonts w:ascii="Arial" w:eastAsia="Times New Roman" w:hAnsi="Arial" w:cs="Arial"/>
          <w:b/>
          <w:bCs/>
          <w:sz w:val="24"/>
          <w:szCs w:val="24"/>
          <w:lang w:eastAsia="pt-PT"/>
        </w:rPr>
        <w:t>desreconhecimento</w:t>
      </w:r>
      <w:proofErr w:type="spellEnd"/>
      <w:r w:rsidRPr="00B83CF1">
        <w:rPr>
          <w:rFonts w:ascii="Arial" w:eastAsia="Times New Roman" w:hAnsi="Arial" w:cs="Arial"/>
          <w:b/>
          <w:bCs/>
          <w:sz w:val="24"/>
          <w:szCs w:val="24"/>
          <w:lang w:eastAsia="pt-PT"/>
        </w:rPr>
        <w:t xml:space="preserve"> de activos e passivos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É de esperar, com a existência de um novo código de contas, que ocorram alterações em algumas rubricas contabilísticas, podendo ser alterada ou não a sua mensuração. Salientam-se os seguintes exemplos:</w:t>
      </w:r>
    </w:p>
    <w:p w:rsidR="00B83CF1" w:rsidRPr="00B83CF1" w:rsidRDefault="00B83CF1" w:rsidP="00B83CF1">
      <w:pPr>
        <w:numPr>
          <w:ilvl w:val="0"/>
          <w:numId w:val="6"/>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Activos detidos para venda e activos e passivos afectos a unidades operacionais descontinuadas;</w:t>
      </w:r>
    </w:p>
    <w:p w:rsidR="00B83CF1" w:rsidRPr="00B83CF1" w:rsidRDefault="00B83CF1" w:rsidP="00B83CF1">
      <w:pPr>
        <w:numPr>
          <w:ilvl w:val="0"/>
          <w:numId w:val="6"/>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Propriedades de investimento;</w:t>
      </w:r>
    </w:p>
    <w:p w:rsidR="00B83CF1" w:rsidRPr="00B83CF1" w:rsidRDefault="00B83CF1" w:rsidP="00B83CF1">
      <w:pPr>
        <w:numPr>
          <w:ilvl w:val="0"/>
          <w:numId w:val="6"/>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Activos biológicos afectos a actividades agrícolas;</w:t>
      </w:r>
    </w:p>
    <w:p w:rsidR="00B83CF1" w:rsidRPr="00B83CF1" w:rsidRDefault="00B83CF1" w:rsidP="00B83CF1">
      <w:pPr>
        <w:numPr>
          <w:ilvl w:val="0"/>
          <w:numId w:val="6"/>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Activos e passivos financeiros e instrumentos de capital próprio.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novos activos e passivos entrarão no balanço de acordo com as NCRF que lhe sejam aplicáveis por contrapartida de Resultados Transitados ou outra conta de capital próprio que se revele mais adequada.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Podem vir a ser reconhecidos activos e passivos que até aqui não o eram, tais como activos intangíveis adquiridos, activos biológicos, provisões para garantias a clientes e instrumentos financeiros, nomeadamente derivados.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w:t>
      </w:r>
      <w:proofErr w:type="spellStart"/>
      <w:r w:rsidRPr="00B83CF1">
        <w:rPr>
          <w:rFonts w:ascii="Arial" w:eastAsia="Times New Roman" w:hAnsi="Arial" w:cs="Arial"/>
          <w:sz w:val="24"/>
          <w:szCs w:val="24"/>
          <w:lang w:eastAsia="pt-PT"/>
        </w:rPr>
        <w:t>desreconhecimento</w:t>
      </w:r>
      <w:proofErr w:type="spellEnd"/>
      <w:r w:rsidRPr="00B83CF1">
        <w:rPr>
          <w:rFonts w:ascii="Arial" w:eastAsia="Times New Roman" w:hAnsi="Arial" w:cs="Arial"/>
          <w:sz w:val="24"/>
          <w:szCs w:val="24"/>
          <w:lang w:eastAsia="pt-PT"/>
        </w:rPr>
        <w:t xml:space="preserve"> também é efectuado por contrapartida de Resultados Transitados, pelo valor que assumiam até esse momento os activos ou passivos em causa.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Poderão ser alvo de </w:t>
      </w:r>
      <w:proofErr w:type="spellStart"/>
      <w:r w:rsidRPr="00B83CF1">
        <w:rPr>
          <w:rFonts w:ascii="Arial" w:eastAsia="Times New Roman" w:hAnsi="Arial" w:cs="Arial"/>
          <w:sz w:val="24"/>
          <w:szCs w:val="24"/>
          <w:lang w:eastAsia="pt-PT"/>
        </w:rPr>
        <w:t>desreconhecimento</w:t>
      </w:r>
      <w:proofErr w:type="spellEnd"/>
      <w:r w:rsidRPr="00B83CF1">
        <w:rPr>
          <w:rFonts w:ascii="Arial" w:eastAsia="Times New Roman" w:hAnsi="Arial" w:cs="Arial"/>
          <w:sz w:val="24"/>
          <w:szCs w:val="24"/>
          <w:lang w:eastAsia="pt-PT"/>
        </w:rPr>
        <w:t xml:space="preserve"> activos tangíveis sem utilidade e activos intangíveis, designadamente gastos de instalação e expansão e gastos de investigação.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Dadas as alterações de critérios valorimétricos suscitadas pela adopção do SNC, poderão ser mensurados de modo desigual itens relacionados </w:t>
      </w:r>
      <w:proofErr w:type="gramStart"/>
      <w:r w:rsidRPr="00B83CF1">
        <w:rPr>
          <w:rFonts w:ascii="Arial" w:eastAsia="Times New Roman" w:hAnsi="Arial" w:cs="Arial"/>
          <w:sz w:val="24"/>
          <w:szCs w:val="24"/>
          <w:lang w:eastAsia="pt-PT"/>
        </w:rPr>
        <w:t>com</w:t>
      </w:r>
      <w:proofErr w:type="gramEnd"/>
      <w:r w:rsidRPr="00B83CF1">
        <w:rPr>
          <w:rFonts w:ascii="Arial" w:eastAsia="Times New Roman" w:hAnsi="Arial" w:cs="Arial"/>
          <w:sz w:val="24"/>
          <w:szCs w:val="24"/>
          <w:lang w:eastAsia="pt-PT"/>
        </w:rPr>
        <w:t>:</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Trespasse;</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Activos e passivos financeiros a custo ou </w:t>
      </w:r>
      <w:proofErr w:type="gramStart"/>
      <w:r w:rsidRPr="00B83CF1">
        <w:rPr>
          <w:rFonts w:ascii="Arial" w:eastAsia="Times New Roman" w:hAnsi="Arial" w:cs="Arial"/>
          <w:sz w:val="24"/>
          <w:szCs w:val="24"/>
          <w:lang w:eastAsia="pt-PT"/>
        </w:rPr>
        <w:t>a justo</w:t>
      </w:r>
      <w:proofErr w:type="gramEnd"/>
      <w:r w:rsidRPr="00B83CF1">
        <w:rPr>
          <w:rFonts w:ascii="Arial" w:eastAsia="Times New Roman" w:hAnsi="Arial" w:cs="Arial"/>
          <w:sz w:val="24"/>
          <w:szCs w:val="24"/>
          <w:lang w:eastAsia="pt-PT"/>
        </w:rPr>
        <w:t xml:space="preserve"> valor e respectivas imparidades;</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Activos intangíveis;</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Propriedades de investimento;</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Activos biológicos;</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Inventários custeados segundo o critério LIFO;</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Contratos de construção;</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Provisões a longo prazo;</w:t>
      </w:r>
    </w:p>
    <w:p w:rsidR="00B83CF1" w:rsidRPr="00B83CF1" w:rsidRDefault="00B83CF1" w:rsidP="00B83CF1">
      <w:pPr>
        <w:numPr>
          <w:ilvl w:val="0"/>
          <w:numId w:val="7"/>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Contas a receber e/ou a pagar com prazos significativos de cobrança.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NCRF 3 estabelece duas categorias de excepções ao princípio de que o balanço de abertura esteja de acordo com as NCRF (numa perspectiva de análise do tipo </w:t>
      </w:r>
      <w:proofErr w:type="spellStart"/>
      <w:r w:rsidRPr="00B83CF1">
        <w:rPr>
          <w:rFonts w:ascii="Arial" w:eastAsia="Times New Roman" w:hAnsi="Arial" w:cs="Arial"/>
          <w:sz w:val="24"/>
          <w:szCs w:val="24"/>
          <w:lang w:eastAsia="pt-PT"/>
        </w:rPr>
        <w:t>custo-benefício</w:t>
      </w:r>
      <w:proofErr w:type="spellEnd"/>
      <w:r w:rsidRPr="00B83CF1">
        <w:rPr>
          <w:rFonts w:ascii="Arial" w:eastAsia="Times New Roman" w:hAnsi="Arial" w:cs="Arial"/>
          <w:sz w:val="24"/>
          <w:szCs w:val="24"/>
          <w:lang w:eastAsia="pt-PT"/>
        </w:rPr>
        <w:t>), assinaladamente isenções de alguns requisitos de algumas normas e proibições à aplicação retrospectiva de alguns aspectos previstos nas NCRF.</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lastRenderedPageBreak/>
        <w:t>Isenções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Em função das situações concretas que venham a ocorrer nas operações de transição das entidades, estas podem optar pelo uso de uma ou mais das isenções: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i) Concentração de actividades empresariais - se ocorrer no passado, não necessita de ser recalculada considerando o SNC;</w:t>
      </w:r>
      <w:r w:rsidRPr="00B83CF1">
        <w:rPr>
          <w:rFonts w:ascii="Arial" w:eastAsia="Times New Roman" w:hAnsi="Arial" w:cs="Arial"/>
          <w:sz w:val="24"/>
          <w:szCs w:val="24"/>
          <w:lang w:eastAsia="pt-PT"/>
        </w:rPr>
        <w:br/>
      </w:r>
      <w:proofErr w:type="spellStart"/>
      <w:r w:rsidRPr="00B83CF1">
        <w:rPr>
          <w:rFonts w:ascii="Arial" w:eastAsia="Times New Roman" w:hAnsi="Arial" w:cs="Arial"/>
          <w:sz w:val="24"/>
          <w:szCs w:val="24"/>
          <w:lang w:eastAsia="pt-PT"/>
        </w:rPr>
        <w:t>ii</w:t>
      </w:r>
      <w:proofErr w:type="spellEnd"/>
      <w:r w:rsidRPr="00B83CF1">
        <w:rPr>
          <w:rFonts w:ascii="Arial" w:eastAsia="Times New Roman" w:hAnsi="Arial" w:cs="Arial"/>
          <w:sz w:val="24"/>
          <w:szCs w:val="24"/>
          <w:lang w:eastAsia="pt-PT"/>
        </w:rPr>
        <w:t>) Justo valor ou revalorização como custo considerado - um adoptante pela primeira vez pode usar uma revalorização de um item de activo fixo tangível com base no POC, como custo à data de revalorização, se a revalorização for, à mesma data, amplamente comparável ao (a) justo valor; (b) custo ou custo depreciado, para reflectir, por exemplo, as alterações num índice geral de preços (aplica-se também às propriedades de investimento e activos intangíveis);</w:t>
      </w:r>
      <w:r w:rsidRPr="00B83CF1">
        <w:rPr>
          <w:rFonts w:ascii="Arial" w:eastAsia="Times New Roman" w:hAnsi="Arial" w:cs="Arial"/>
          <w:sz w:val="24"/>
          <w:szCs w:val="24"/>
          <w:lang w:eastAsia="pt-PT"/>
        </w:rPr>
        <w:br/>
      </w:r>
      <w:proofErr w:type="spellStart"/>
      <w:r w:rsidRPr="00B83CF1">
        <w:rPr>
          <w:rFonts w:ascii="Arial" w:eastAsia="Times New Roman" w:hAnsi="Arial" w:cs="Arial"/>
          <w:sz w:val="24"/>
          <w:szCs w:val="24"/>
          <w:lang w:eastAsia="pt-PT"/>
        </w:rPr>
        <w:t>iii</w:t>
      </w:r>
      <w:proofErr w:type="spellEnd"/>
      <w:r w:rsidRPr="00B83CF1">
        <w:rPr>
          <w:rFonts w:ascii="Arial" w:eastAsia="Times New Roman" w:hAnsi="Arial" w:cs="Arial"/>
          <w:sz w:val="24"/>
          <w:szCs w:val="24"/>
          <w:lang w:eastAsia="pt-PT"/>
        </w:rPr>
        <w:t xml:space="preserve">) Benefícios dos empregados - podem optar por reconhecer todos os ganhos e perdas </w:t>
      </w:r>
      <w:proofErr w:type="spellStart"/>
      <w:r w:rsidRPr="00B83CF1">
        <w:rPr>
          <w:rFonts w:ascii="Arial" w:eastAsia="Times New Roman" w:hAnsi="Arial" w:cs="Arial"/>
          <w:sz w:val="24"/>
          <w:szCs w:val="24"/>
          <w:lang w:eastAsia="pt-PT"/>
        </w:rPr>
        <w:t>actuariais</w:t>
      </w:r>
      <w:proofErr w:type="spellEnd"/>
      <w:r w:rsidRPr="00B83CF1">
        <w:rPr>
          <w:rFonts w:ascii="Arial" w:eastAsia="Times New Roman" w:hAnsi="Arial" w:cs="Arial"/>
          <w:sz w:val="24"/>
          <w:szCs w:val="24"/>
          <w:lang w:eastAsia="pt-PT"/>
        </w:rPr>
        <w:t xml:space="preserve"> cumulativos na data de transição, sem fazer aplicação retrospectiva;</w:t>
      </w:r>
      <w:r w:rsidRPr="00B83CF1">
        <w:rPr>
          <w:rFonts w:ascii="Arial" w:eastAsia="Times New Roman" w:hAnsi="Arial" w:cs="Arial"/>
          <w:sz w:val="24"/>
          <w:szCs w:val="24"/>
          <w:lang w:eastAsia="pt-PT"/>
        </w:rPr>
        <w:br/>
      </w:r>
      <w:proofErr w:type="spellStart"/>
      <w:r w:rsidRPr="00B83CF1">
        <w:rPr>
          <w:rFonts w:ascii="Arial" w:eastAsia="Times New Roman" w:hAnsi="Arial" w:cs="Arial"/>
          <w:sz w:val="24"/>
          <w:szCs w:val="24"/>
          <w:lang w:eastAsia="pt-PT"/>
        </w:rPr>
        <w:t>iv</w:t>
      </w:r>
      <w:proofErr w:type="spellEnd"/>
      <w:r w:rsidRPr="00B83CF1">
        <w:rPr>
          <w:rFonts w:ascii="Arial" w:eastAsia="Times New Roman" w:hAnsi="Arial" w:cs="Arial"/>
          <w:sz w:val="24"/>
          <w:szCs w:val="24"/>
          <w:lang w:eastAsia="pt-PT"/>
        </w:rPr>
        <w:t>) Diferenças de transposição cumulativas - caso optem por esta isenção, as diferenças de transposição cumulativas serão consideradas zero à data da transição;</w:t>
      </w:r>
      <w:r w:rsidRPr="00B83CF1">
        <w:rPr>
          <w:rFonts w:ascii="Arial" w:eastAsia="Times New Roman" w:hAnsi="Arial" w:cs="Arial"/>
          <w:sz w:val="24"/>
          <w:szCs w:val="24"/>
          <w:lang w:eastAsia="pt-PT"/>
        </w:rPr>
        <w:br/>
        <w:t>v) Instrumentos financeiros compostos - uma entidade não tem que separar a componente do passivo e do capital próprio;</w:t>
      </w:r>
      <w:r w:rsidRPr="00B83CF1">
        <w:rPr>
          <w:rFonts w:ascii="Arial" w:eastAsia="Times New Roman" w:hAnsi="Arial" w:cs="Arial"/>
          <w:sz w:val="24"/>
          <w:szCs w:val="24"/>
          <w:lang w:eastAsia="pt-PT"/>
        </w:rPr>
        <w:br/>
        <w:t>vi) Designação de instrumentos financeiros previamente reconhecidos como disponíveis para venda ou como instrumentos a justo valor através de resultados - qualquer entidade pode aplicar a designação de "disponível para venda" na data de transição, mas a designação de "activo e passivo financeiro pelo justo valor através de resultados" obriga à satisfação de um conjunto de critérios expressos na IAS 39 - Instrumentos Financeiros: Reconhecimento e Mensuração; e</w:t>
      </w:r>
      <w:r w:rsidRPr="00B83CF1">
        <w:rPr>
          <w:rFonts w:ascii="Arial" w:eastAsia="Times New Roman" w:hAnsi="Arial" w:cs="Arial"/>
          <w:sz w:val="24"/>
          <w:szCs w:val="24"/>
          <w:lang w:eastAsia="pt-PT"/>
        </w:rPr>
        <w:br/>
      </w:r>
      <w:proofErr w:type="spellStart"/>
      <w:r w:rsidRPr="00B83CF1">
        <w:rPr>
          <w:rFonts w:ascii="Arial" w:eastAsia="Times New Roman" w:hAnsi="Arial" w:cs="Arial"/>
          <w:sz w:val="24"/>
          <w:szCs w:val="24"/>
          <w:lang w:eastAsia="pt-PT"/>
        </w:rPr>
        <w:t>vii</w:t>
      </w:r>
      <w:proofErr w:type="spellEnd"/>
      <w:r w:rsidRPr="00B83CF1">
        <w:rPr>
          <w:rFonts w:ascii="Arial" w:eastAsia="Times New Roman" w:hAnsi="Arial" w:cs="Arial"/>
          <w:sz w:val="24"/>
          <w:szCs w:val="24"/>
          <w:lang w:eastAsia="pt-PT"/>
        </w:rPr>
        <w:t>) Locações.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Grande parte das isenções são relativas a situações de grupos económicos (relacionadas com a consolidação) ou então a matérias contabilísticas que não existem na maioria das empresas, como instrumentos financeiros ou benefícios dos empregados.</w:t>
      </w:r>
      <w:r w:rsidRPr="00B83CF1">
        <w:rPr>
          <w:rFonts w:ascii="Arial" w:eastAsia="Times New Roman" w:hAnsi="Arial" w:cs="Arial"/>
          <w:sz w:val="24"/>
          <w:szCs w:val="24"/>
          <w:lang w:eastAsia="pt-PT"/>
        </w:rPr>
        <w:br/>
        <w:t>Assim, na prática, estas isenções e flexibilizações visam facilitar a passagem para o SNC de empresas com sistemas contabilísticos muito complexos, acabando por não ter utilidade para a maioria das organizações.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Proibições de aplicação retrospectiva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NCRF 3 proíbe a aplicação retrospectiva das seguintes matérias:</w:t>
      </w:r>
    </w:p>
    <w:p w:rsidR="00B83CF1" w:rsidRPr="00B83CF1" w:rsidRDefault="00B83CF1" w:rsidP="00B83CF1">
      <w:pPr>
        <w:numPr>
          <w:ilvl w:val="0"/>
          <w:numId w:val="8"/>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Reconhecimento de activos e passivos financeiros não derivados que tenham sido previamente </w:t>
      </w:r>
      <w:proofErr w:type="spellStart"/>
      <w:r w:rsidRPr="00B83CF1">
        <w:rPr>
          <w:rFonts w:ascii="Arial" w:eastAsia="Times New Roman" w:hAnsi="Arial" w:cs="Arial"/>
          <w:sz w:val="24"/>
          <w:szCs w:val="24"/>
          <w:lang w:eastAsia="pt-PT"/>
        </w:rPr>
        <w:t>desreconhecidos</w:t>
      </w:r>
      <w:proofErr w:type="spellEnd"/>
      <w:r w:rsidRPr="00B83CF1">
        <w:rPr>
          <w:rFonts w:ascii="Arial" w:eastAsia="Times New Roman" w:hAnsi="Arial" w:cs="Arial"/>
          <w:sz w:val="24"/>
          <w:szCs w:val="24"/>
          <w:lang w:eastAsia="pt-PT"/>
        </w:rPr>
        <w:t xml:space="preserve"> nos termos do POC (a menos que exista uma transacção posterior que os qualifique como tal); </w:t>
      </w:r>
    </w:p>
    <w:p w:rsidR="00B83CF1" w:rsidRPr="00B83CF1" w:rsidRDefault="00B83CF1" w:rsidP="00B83CF1">
      <w:pPr>
        <w:numPr>
          <w:ilvl w:val="0"/>
          <w:numId w:val="8"/>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Contabilidade de cobertura - se antes da data da transição uma entidade tinha designado como de cobertura, mas a cobertura não satisfaz as condições da contabilidade de cobertura constantes da IAS 39, esta cobertura deve ser </w:t>
      </w:r>
      <w:proofErr w:type="spellStart"/>
      <w:r w:rsidRPr="00B83CF1">
        <w:rPr>
          <w:rFonts w:ascii="Arial" w:eastAsia="Times New Roman" w:hAnsi="Arial" w:cs="Arial"/>
          <w:sz w:val="24"/>
          <w:szCs w:val="24"/>
          <w:lang w:eastAsia="pt-PT"/>
        </w:rPr>
        <w:t>desreconhecida</w:t>
      </w:r>
      <w:proofErr w:type="spellEnd"/>
      <w:r w:rsidRPr="00B83CF1">
        <w:rPr>
          <w:rFonts w:ascii="Arial" w:eastAsia="Times New Roman" w:hAnsi="Arial" w:cs="Arial"/>
          <w:sz w:val="24"/>
          <w:szCs w:val="24"/>
          <w:lang w:eastAsia="pt-PT"/>
        </w:rPr>
        <w:t xml:space="preserve"> (as transacções celebradas antes da data de transição para as NCRF não devem ser retrospectivamente designadas como de cobertura); </w:t>
      </w:r>
    </w:p>
    <w:p w:rsidR="00B83CF1" w:rsidRPr="00B83CF1" w:rsidRDefault="00B83CF1" w:rsidP="00B83CF1">
      <w:pPr>
        <w:numPr>
          <w:ilvl w:val="0"/>
          <w:numId w:val="8"/>
        </w:numPr>
        <w:spacing w:before="100" w:beforeAutospacing="1" w:after="100" w:afterAutospacing="1" w:line="240" w:lineRule="auto"/>
        <w:ind w:left="489"/>
        <w:rPr>
          <w:rFonts w:ascii="Arial" w:eastAsia="Times New Roman" w:hAnsi="Arial" w:cs="Arial"/>
          <w:sz w:val="24"/>
          <w:szCs w:val="24"/>
          <w:lang w:eastAsia="pt-PT"/>
        </w:rPr>
      </w:pPr>
      <w:proofErr w:type="gramStart"/>
      <w:r w:rsidRPr="00B83CF1">
        <w:rPr>
          <w:rFonts w:ascii="Arial" w:eastAsia="Times New Roman" w:hAnsi="Arial" w:cs="Arial"/>
          <w:sz w:val="24"/>
          <w:szCs w:val="24"/>
          <w:lang w:eastAsia="pt-PT"/>
        </w:rPr>
        <w:lastRenderedPageBreak/>
        <w:t>Estimativas - existe</w:t>
      </w:r>
      <w:proofErr w:type="gramEnd"/>
      <w:r w:rsidRPr="00B83CF1">
        <w:rPr>
          <w:rFonts w:ascii="Arial" w:eastAsia="Times New Roman" w:hAnsi="Arial" w:cs="Arial"/>
          <w:sz w:val="24"/>
          <w:szCs w:val="24"/>
          <w:lang w:eastAsia="pt-PT"/>
        </w:rPr>
        <w:t xml:space="preserve"> o dever de consistência entre as estimativas segundo o POC e segundo o SNC (após consideração de alterações nas políticas contabilísticas), salvo se existir evidência objectiva que as estimativas estavam erradas; </w:t>
      </w:r>
    </w:p>
    <w:p w:rsidR="00B83CF1" w:rsidRPr="00B83CF1" w:rsidRDefault="00B83CF1" w:rsidP="00B83CF1">
      <w:pPr>
        <w:numPr>
          <w:ilvl w:val="0"/>
          <w:numId w:val="8"/>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Activos classificados como detidos para venda e unidades operacionais descontinuadas - apenas podem ser classificados prospectivamente.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Existe uma grande preocupação de que algumas matérias sejam aplicadas prospectivamente, com vista a evitar a manipulação das contas.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Algumas notas sobre reconhecimento, mensuração e reconciliações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Se as políticas contabilísticas de acordo com os princípios contabilísticos geralmente aceites (PCGA) anteriores não forem iguais aos das NCRF, a entidade deverá fazer ajustamentos que deverão ser levados a Resultados Transitados ou a outro item do capital próprio, se adequado.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primeiras demonstrações financeiras de acordo com as NCRF de uma entidade devem incluir pelo menos um ano de informação comparativa segundo as NCRF (em 2009, além do balanço de abertura, ter-se-á também de preparar as outras demonstrações financeiras de acordo com o SNC).</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Uma entidade deve explicar de que forma a transição dos PCGA anteriores para as NCRF afectou a sua posição financeira, o seu desempenho e os seus fluxos de caixa relatados.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 igual modo, deve ser efectuada a reconciliação do capital próprio relatado de acordo com os PCGA anteriores com o capital próprio segundo as NCRF e do lucro ou perda relatado segundo os PCGA anteriores (relativo ao último período) com o lucro ou a perda segundo as NCRF (relativo ao mesmo período).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Caso se tenham reconhecido ou revertido perdas por imparidade no balanço de abertura, a entidade deve apresentar as divulgações exigidas pela NCRF 12 - Imparidade de Activos.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Refira-se ainda que a NCRF 4 - Políticas contabilísticas, alterações nas estimativas contabilísticas e erros não se aplica às primeiras demonstrações financeiras de acordo com as NCRF.</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 tocante às pequenas entidades, o seu processo de adopção e transição para o SNC será mais simplificado, uma vez que a NCRF 3 apenas será aplicada prospectivamente e as demonstrações financeiras não necessitarão de incluir pelo menos um ano de informação comparativa (como acontece com as empresas que aplicam as NCRF).</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Considerações finais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NCRF 3 é a primeira norma a ser utilizada e apenas no momento da transição, pelo que após a adopção do SNC não será mais necessária.</w:t>
      </w:r>
    </w:p>
    <w:p w:rsidR="00B83CF1" w:rsidRP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Todavia, é de extrema importância para uma correcta passagem do POC para o SNC, devendo existir uma fronteira evidente entre alterações das políticas contabilísticas normais durante a aplicação de um referencial contabilístico e alterações e impactos derivados da adopção pela primeira vez de um novo sistema contabilístico.</w:t>
      </w:r>
    </w:p>
    <w:p w:rsidR="00B83CF1" w:rsidRPr="00F25306" w:rsidRDefault="00B83CF1" w:rsidP="00B83CF1">
      <w:pPr>
        <w:spacing w:before="115" w:line="264" w:lineRule="auto"/>
        <w:outlineLvl w:val="2"/>
        <w:rPr>
          <w:rFonts w:ascii="Georgia" w:hAnsi="Georgia" w:cs="Arial"/>
          <w:color w:val="FF0000"/>
          <w:spacing w:val="-12"/>
          <w:sz w:val="40"/>
          <w:szCs w:val="42"/>
        </w:rPr>
      </w:pPr>
      <w:bookmarkStart w:id="10" w:name="_Toc290996385"/>
      <w:r w:rsidRPr="00F25306">
        <w:rPr>
          <w:rFonts w:ascii="Georgia" w:hAnsi="Georgia" w:cs="Arial"/>
          <w:color w:val="FF0000"/>
          <w:spacing w:val="-12"/>
          <w:sz w:val="40"/>
          <w:szCs w:val="42"/>
        </w:rPr>
        <w:lastRenderedPageBreak/>
        <w:t>NCRF4 - Políticas contabilísticas, alterações nas estimativas contabilísticas e erros - Comentário e explicações</w:t>
      </w:r>
      <w:bookmarkEnd w:id="10"/>
    </w:p>
    <w:p w:rsidR="00B83CF1" w:rsidRPr="00B83CF1" w:rsidRDefault="00B83CF1" w:rsidP="00B83CF1">
      <w:pPr>
        <w:spacing w:after="0"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A NCRF 4 prescreve os critérios para a selecção e alteração das políticas contabilísticas, bem como o tratamento contabilístico e divulgação das alterações nas políticas e estimativas contabilísticas e correcções de erros.</w:t>
      </w:r>
    </w:p>
    <w:p w:rsidR="00B83CF1" w:rsidRPr="00B83CF1" w:rsidRDefault="00B83CF1" w:rsidP="00B83CF1">
      <w:pPr>
        <w:spacing w:after="0"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Tem por base a IAS 8 (que possui a mesma designação) e tem como objectivo melhorar a relevância e a fiabilidade das demonstrações financeiras de uma entidade e a sua comparabilidade ao longo do tempo e com as demonstrações financeiras de outra entidade.</w:t>
      </w:r>
    </w:p>
    <w:p w:rsidR="00B83CF1" w:rsidRPr="00B83CF1" w:rsidRDefault="00B83CF1" w:rsidP="00B83CF1">
      <w:pPr>
        <w:spacing w:after="0"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efeitos fiscais de correcções de erros de períodos anteriores e ajustamentos retrospectivos são contabilizados de acordo com a NCRF 25 - Impostos sobre o rendimento.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Políticas Contabilísticas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Uma entidade deve seleccionar e aplicar políticas contabilísticas de forma consistente, sendo que alterações às mesmas apenas devem ser levadas a cabo se exigidas por uma norma/interpretação ou para proporcionar informação mais fiável e relevante.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Quando uma política contabilística é aplicada de modo retrospectivo, a entidade deve ajustar o saldo de abertura do capital próprio afectado para o período anterior mais antigo apresentado e as outras quantias comparativas divulgadas para cada período anterior apresentado, como se a nova política tivesse sido sempre aplicada.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Uma alteração numa política contabilística deve ser efectuada retrospectivamente até ao ponto em que seja impraticável por diversas circunstâncias.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ajustamento é usualmente efectuado na conta de Resultados Retidos (mas pode ser utilizada outra componente dos capitais próprios, por exemplo, para cumprir uma norma).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Quando a aplicação inicial de uma norma tiver efeitos no período corrente ou em qualquer período anterior, uma entidade deve divulgar:</w:t>
      </w:r>
    </w:p>
    <w:p w:rsidR="00B83CF1" w:rsidRPr="00B83CF1" w:rsidRDefault="00B83CF1" w:rsidP="00B83CF1">
      <w:pPr>
        <w:numPr>
          <w:ilvl w:val="0"/>
          <w:numId w:val="9"/>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título da norma ou interpretação; </w:t>
      </w:r>
    </w:p>
    <w:p w:rsidR="00B83CF1" w:rsidRPr="00B83CF1" w:rsidRDefault="00B83CF1" w:rsidP="00B83CF1">
      <w:pPr>
        <w:numPr>
          <w:ilvl w:val="0"/>
          <w:numId w:val="9"/>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natureza da alteração na política contabilística; e </w:t>
      </w:r>
    </w:p>
    <w:p w:rsidR="00B83CF1" w:rsidRPr="00B83CF1" w:rsidRDefault="00B83CF1" w:rsidP="00B83CF1">
      <w:pPr>
        <w:numPr>
          <w:ilvl w:val="0"/>
          <w:numId w:val="9"/>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quantia do ajustamento relacionado com períodos anteriores aos apresentados, até ao ponto em que seja praticável.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Atente-se que as demonstrações financeiras de períodos posteriores não necessitam de reproduzir estas divulgações.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Caso uma alteração voluntária em políticas contabilísticas tenha efeitos no período corrente ou em qualquer período anterior, ou possa ter efeitos em períodos futuros, uma entidade deve divulgar:</w:t>
      </w:r>
    </w:p>
    <w:p w:rsidR="00B83CF1" w:rsidRPr="00B83CF1" w:rsidRDefault="00B83CF1" w:rsidP="00B83CF1">
      <w:pPr>
        <w:numPr>
          <w:ilvl w:val="0"/>
          <w:numId w:val="10"/>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natureza da alteração da política contabilística; </w:t>
      </w:r>
    </w:p>
    <w:p w:rsidR="00B83CF1" w:rsidRPr="00B83CF1" w:rsidRDefault="00B83CF1" w:rsidP="00B83CF1">
      <w:pPr>
        <w:numPr>
          <w:ilvl w:val="0"/>
          <w:numId w:val="10"/>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As razões pelas quais a aplicação da nova política contabilística proporciona informação fiável e mais relevante; </w:t>
      </w:r>
    </w:p>
    <w:p w:rsidR="00B83CF1" w:rsidRPr="00B83CF1" w:rsidRDefault="00B83CF1" w:rsidP="00B83CF1">
      <w:pPr>
        <w:numPr>
          <w:ilvl w:val="0"/>
          <w:numId w:val="10"/>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quantia do ajustamento para o período corrente e cada período anterior apresentado, até ao ponto em que seja praticável; e </w:t>
      </w:r>
    </w:p>
    <w:p w:rsidR="00B83CF1" w:rsidRPr="00B83CF1" w:rsidRDefault="00B83CF1" w:rsidP="00B83CF1">
      <w:pPr>
        <w:numPr>
          <w:ilvl w:val="0"/>
          <w:numId w:val="10"/>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quantia de ajustamento relacionado com períodos anteriores aos apresentados, até ao ponto em que seja praticável.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Alterações nas estimativas contabilísticas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uso de estimativas razoáveis é uma parte fundamental da preparação de demonstrações financeiras e não reduz o seu carácter de fiabilidade.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Uma estimativa pode precisar de revisão se ocorrerem alterações nas circunstâncias em que a estimativa se baseou ou em consequência de nova informação ou experiência.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Ressalve-se que a revisão de uma estimativa não é um erro nem se relaciona com períodos anteriores.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efeitos de uma alteração numa estimativa contabilística devem ser reconhecidos prospectivamente, incluindo-os nos resultados do:</w:t>
      </w:r>
      <w:r w:rsidRPr="00B83CF1">
        <w:rPr>
          <w:rFonts w:ascii="Arial" w:eastAsia="Times New Roman" w:hAnsi="Arial" w:cs="Arial"/>
          <w:sz w:val="24"/>
          <w:szCs w:val="24"/>
          <w:lang w:eastAsia="pt-PT"/>
        </w:rPr>
        <w:br/>
        <w:t>a) Período de alteração, se a alteração afectar apenas esse período; ou</w:t>
      </w:r>
      <w:r w:rsidRPr="00B83CF1">
        <w:rPr>
          <w:rFonts w:ascii="Arial" w:eastAsia="Times New Roman" w:hAnsi="Arial" w:cs="Arial"/>
          <w:sz w:val="24"/>
          <w:szCs w:val="24"/>
          <w:lang w:eastAsia="pt-PT"/>
        </w:rPr>
        <w:br/>
        <w:t>b) Período de alteração e futuros períodos, se a alteração afectar ambas as situações.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Uma entidade deve divulgar a natureza e a quantia de uma alteração numa estimativa contabilística que tenha um efeito no período corrente ou se espera que tenha um efeito em futuros períodos, excepto quando for impraticável calcular esse efeito.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Se a quantia do efeito em futuros períodos não for divulgada porque a estimativa do mesmo é impraticável, a entidade deve divulgar esse facto.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Erros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Uma entidade deve corrigir os erros materiais de períodos anteriores retrospectivamente no primeiro conjunto de demonstrações financeiras aprovadas após a sua descoberta:</w:t>
      </w:r>
    </w:p>
    <w:p w:rsidR="00B83CF1" w:rsidRPr="00B83CF1" w:rsidRDefault="00B83CF1" w:rsidP="00B83CF1">
      <w:pPr>
        <w:numPr>
          <w:ilvl w:val="0"/>
          <w:numId w:val="11"/>
        </w:numPr>
        <w:spacing w:before="100" w:beforeAutospacing="1" w:after="100" w:afterAutospacing="1" w:line="240" w:lineRule="auto"/>
        <w:ind w:left="950"/>
        <w:jc w:val="both"/>
        <w:rPr>
          <w:rFonts w:ascii="Arial" w:eastAsia="Times New Roman" w:hAnsi="Arial" w:cs="Arial"/>
          <w:sz w:val="24"/>
          <w:szCs w:val="24"/>
          <w:lang w:eastAsia="pt-PT"/>
        </w:rPr>
      </w:pPr>
      <w:proofErr w:type="spellStart"/>
      <w:r w:rsidRPr="00B83CF1">
        <w:rPr>
          <w:rFonts w:ascii="Arial" w:eastAsia="Times New Roman" w:hAnsi="Arial" w:cs="Arial"/>
          <w:sz w:val="24"/>
          <w:szCs w:val="24"/>
          <w:lang w:eastAsia="pt-PT"/>
        </w:rPr>
        <w:t>Reexpressando</w:t>
      </w:r>
      <w:proofErr w:type="spellEnd"/>
      <w:r w:rsidRPr="00B83CF1">
        <w:rPr>
          <w:rFonts w:ascii="Arial" w:eastAsia="Times New Roman" w:hAnsi="Arial" w:cs="Arial"/>
          <w:sz w:val="24"/>
          <w:szCs w:val="24"/>
          <w:lang w:eastAsia="pt-PT"/>
        </w:rPr>
        <w:t xml:space="preserve"> as quantias comparativas para os períodos anteriores apresentados em que tenha ocorrido o erro; ou </w:t>
      </w:r>
    </w:p>
    <w:p w:rsidR="00B83CF1" w:rsidRPr="00B83CF1" w:rsidRDefault="00B83CF1" w:rsidP="00B83CF1">
      <w:pPr>
        <w:numPr>
          <w:ilvl w:val="0"/>
          <w:numId w:val="11"/>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Se o erro ocorreu antes do período anterior mais antigo apresentado, </w:t>
      </w:r>
      <w:proofErr w:type="spellStart"/>
      <w:r w:rsidRPr="00B83CF1">
        <w:rPr>
          <w:rFonts w:ascii="Arial" w:eastAsia="Times New Roman" w:hAnsi="Arial" w:cs="Arial"/>
          <w:sz w:val="24"/>
          <w:szCs w:val="24"/>
          <w:lang w:eastAsia="pt-PT"/>
        </w:rPr>
        <w:t>reexpressando</w:t>
      </w:r>
      <w:proofErr w:type="spellEnd"/>
      <w:r w:rsidRPr="00B83CF1">
        <w:rPr>
          <w:rFonts w:ascii="Arial" w:eastAsia="Times New Roman" w:hAnsi="Arial" w:cs="Arial"/>
          <w:sz w:val="24"/>
          <w:szCs w:val="24"/>
          <w:lang w:eastAsia="pt-PT"/>
        </w:rPr>
        <w:t xml:space="preserve"> os saldos de abertura dos activos, passivos e capital próprio para o período mais antigo apresentado.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Porém, existem várias limitações à </w:t>
      </w:r>
      <w:proofErr w:type="spellStart"/>
      <w:r w:rsidRPr="00B83CF1">
        <w:rPr>
          <w:rFonts w:ascii="Arial" w:eastAsia="Times New Roman" w:hAnsi="Arial" w:cs="Arial"/>
          <w:sz w:val="24"/>
          <w:szCs w:val="24"/>
          <w:lang w:eastAsia="pt-PT"/>
        </w:rPr>
        <w:t>reexpressão</w:t>
      </w:r>
      <w:proofErr w:type="spellEnd"/>
      <w:r w:rsidRPr="00B83CF1">
        <w:rPr>
          <w:rFonts w:ascii="Arial" w:eastAsia="Times New Roman" w:hAnsi="Arial" w:cs="Arial"/>
          <w:sz w:val="24"/>
          <w:szCs w:val="24"/>
          <w:lang w:eastAsia="pt-PT"/>
        </w:rPr>
        <w:t xml:space="preserve"> retrospectiva, nomeadamente;</w:t>
      </w:r>
    </w:p>
    <w:p w:rsidR="00B83CF1" w:rsidRPr="00B83CF1" w:rsidRDefault="00B83CF1" w:rsidP="00B83CF1">
      <w:pPr>
        <w:numPr>
          <w:ilvl w:val="0"/>
          <w:numId w:val="12"/>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Um erro do período anterior deve ser corrigido retrospectivamente, excepto quando for impraticável determinar quer os efeitos específicos de um período, quer o efeito cumulativo do erro; </w:t>
      </w:r>
    </w:p>
    <w:p w:rsidR="00B83CF1" w:rsidRPr="00B83CF1" w:rsidRDefault="00B83CF1" w:rsidP="00B83CF1">
      <w:pPr>
        <w:numPr>
          <w:ilvl w:val="0"/>
          <w:numId w:val="12"/>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entidade deve voltar a expressar os saldos de abertura de activos, passivos e capital próprio para o período mais antigo para o qual seja praticável a </w:t>
      </w:r>
      <w:proofErr w:type="spellStart"/>
      <w:r w:rsidRPr="00B83CF1">
        <w:rPr>
          <w:rFonts w:ascii="Arial" w:eastAsia="Times New Roman" w:hAnsi="Arial" w:cs="Arial"/>
          <w:sz w:val="24"/>
          <w:szCs w:val="24"/>
          <w:lang w:eastAsia="pt-PT"/>
        </w:rPr>
        <w:t>reexpressão</w:t>
      </w:r>
      <w:proofErr w:type="spellEnd"/>
      <w:r w:rsidRPr="00B83CF1">
        <w:rPr>
          <w:rFonts w:ascii="Arial" w:eastAsia="Times New Roman" w:hAnsi="Arial" w:cs="Arial"/>
          <w:sz w:val="24"/>
          <w:szCs w:val="24"/>
          <w:lang w:eastAsia="pt-PT"/>
        </w:rPr>
        <w:t xml:space="preserve"> retrospectiva (que pode ser o período corrente); </w:t>
      </w:r>
    </w:p>
    <w:p w:rsidR="00B83CF1" w:rsidRPr="00B83CF1" w:rsidRDefault="00B83CF1" w:rsidP="00B83CF1">
      <w:pPr>
        <w:numPr>
          <w:ilvl w:val="0"/>
          <w:numId w:val="12"/>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Quando for impraticável determinar o efeito cumulativo, no início do período corrente, de um erro em todos os períodos anteriores, a entidade </w:t>
      </w:r>
      <w:r w:rsidRPr="00B83CF1">
        <w:rPr>
          <w:rFonts w:ascii="Arial" w:eastAsia="Times New Roman" w:hAnsi="Arial" w:cs="Arial"/>
          <w:sz w:val="24"/>
          <w:szCs w:val="24"/>
          <w:lang w:eastAsia="pt-PT"/>
        </w:rPr>
        <w:lastRenderedPageBreak/>
        <w:t xml:space="preserve">deve </w:t>
      </w:r>
      <w:proofErr w:type="spellStart"/>
      <w:r w:rsidRPr="00B83CF1">
        <w:rPr>
          <w:rFonts w:ascii="Arial" w:eastAsia="Times New Roman" w:hAnsi="Arial" w:cs="Arial"/>
          <w:sz w:val="24"/>
          <w:szCs w:val="24"/>
          <w:lang w:eastAsia="pt-PT"/>
        </w:rPr>
        <w:t>reexpressar</w:t>
      </w:r>
      <w:proofErr w:type="spellEnd"/>
      <w:r w:rsidRPr="00B83CF1">
        <w:rPr>
          <w:rFonts w:ascii="Arial" w:eastAsia="Times New Roman" w:hAnsi="Arial" w:cs="Arial"/>
          <w:sz w:val="24"/>
          <w:szCs w:val="24"/>
          <w:lang w:eastAsia="pt-PT"/>
        </w:rPr>
        <w:t xml:space="preserve"> a informação comparativa para corrigir o erro prospectivamente, a partir da data mais antiga em que tal seja praticável; </w:t>
      </w:r>
    </w:p>
    <w:p w:rsidR="00B83CF1" w:rsidRPr="00B83CF1" w:rsidRDefault="00B83CF1" w:rsidP="00B83CF1">
      <w:pPr>
        <w:numPr>
          <w:ilvl w:val="0"/>
          <w:numId w:val="12"/>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correcção de um erro de um período anterior é excluída dos resultados do período em que o erro é descoberto.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 que respeita aos erros, uma entidade deve divulgar o seguinte:</w:t>
      </w:r>
    </w:p>
    <w:p w:rsidR="00B83CF1" w:rsidRPr="00B83CF1" w:rsidRDefault="00B83CF1" w:rsidP="00B83CF1">
      <w:pPr>
        <w:numPr>
          <w:ilvl w:val="0"/>
          <w:numId w:val="13"/>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natureza de um erro de um período anterior; </w:t>
      </w:r>
    </w:p>
    <w:p w:rsidR="00B83CF1" w:rsidRPr="00B83CF1" w:rsidRDefault="00B83CF1" w:rsidP="00B83CF1">
      <w:pPr>
        <w:numPr>
          <w:ilvl w:val="0"/>
          <w:numId w:val="13"/>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Até ao ponto em que seja praticável, a quantia de correcção para cada período anterior apresentado; </w:t>
      </w:r>
    </w:p>
    <w:p w:rsidR="00B83CF1" w:rsidRPr="00B83CF1" w:rsidRDefault="00B83CF1" w:rsidP="00B83CF1">
      <w:pPr>
        <w:numPr>
          <w:ilvl w:val="0"/>
          <w:numId w:val="13"/>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quantia da correcção no início do período anterior mais antigo apresentado; e </w:t>
      </w:r>
    </w:p>
    <w:p w:rsidR="00B83CF1" w:rsidRPr="00B83CF1" w:rsidRDefault="00B83CF1" w:rsidP="00B83CF1">
      <w:pPr>
        <w:numPr>
          <w:ilvl w:val="0"/>
          <w:numId w:val="13"/>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Se a </w:t>
      </w:r>
      <w:proofErr w:type="spellStart"/>
      <w:r w:rsidRPr="00B83CF1">
        <w:rPr>
          <w:rFonts w:ascii="Arial" w:eastAsia="Times New Roman" w:hAnsi="Arial" w:cs="Arial"/>
          <w:sz w:val="24"/>
          <w:szCs w:val="24"/>
          <w:lang w:eastAsia="pt-PT"/>
        </w:rPr>
        <w:t>reexpressão</w:t>
      </w:r>
      <w:proofErr w:type="spellEnd"/>
      <w:r w:rsidRPr="00B83CF1">
        <w:rPr>
          <w:rFonts w:ascii="Arial" w:eastAsia="Times New Roman" w:hAnsi="Arial" w:cs="Arial"/>
          <w:sz w:val="24"/>
          <w:szCs w:val="24"/>
          <w:lang w:eastAsia="pt-PT"/>
        </w:rPr>
        <w:t xml:space="preserve"> retrospectiva for impraticável para um período anterior em particular, as circunstâncias que levaram à existência dessa condição e uma descrição de como e desde quando o erro foi corrigido.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Conclusão</w:t>
      </w:r>
    </w:p>
    <w:p w:rsidR="00B83CF1" w:rsidRP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Em jeito de resumo, pode-se dizer que a regra geral de tratamento das três situações mencionadas na NCRF 4 é a seguinte:</w:t>
      </w:r>
    </w:p>
    <w:tbl>
      <w:tblPr>
        <w:tblW w:w="5000" w:type="pct"/>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6356"/>
        <w:gridCol w:w="2378"/>
      </w:tblGrid>
      <w:tr w:rsidR="00B83CF1" w:rsidRPr="00B83CF1" w:rsidTr="00B83CF1">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b/>
                <w:bCs/>
                <w:color w:val="404040"/>
                <w:sz w:val="24"/>
                <w:szCs w:val="24"/>
                <w:lang w:eastAsia="pt-PT"/>
              </w:rPr>
              <w:t>Situação</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b/>
                <w:bCs/>
                <w:color w:val="404040"/>
                <w:sz w:val="24"/>
                <w:szCs w:val="24"/>
                <w:lang w:eastAsia="pt-PT"/>
              </w:rPr>
              <w:t>Aplicação</w:t>
            </w:r>
          </w:p>
        </w:tc>
      </w:tr>
      <w:tr w:rsidR="00B83CF1" w:rsidRPr="00B83CF1" w:rsidTr="00B83CF1">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Alterações de políticas contabilísticas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Retrospectiva</w:t>
            </w:r>
          </w:p>
        </w:tc>
      </w:tr>
      <w:tr w:rsidR="00B83CF1" w:rsidRPr="00B83CF1" w:rsidTr="00B83CF1">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Alterações de estimativas contabilísticas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Prospectiva</w:t>
            </w:r>
          </w:p>
        </w:tc>
      </w:tr>
      <w:tr w:rsidR="00B83CF1" w:rsidRPr="00B83CF1" w:rsidTr="00B83CF1">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Erros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B83CF1" w:rsidRPr="00B83CF1" w:rsidRDefault="00B83CF1" w:rsidP="00B83CF1">
            <w:pPr>
              <w:spacing w:after="0" w:line="240" w:lineRule="auto"/>
              <w:rPr>
                <w:rFonts w:ascii="Arial" w:eastAsia="Times New Roman" w:hAnsi="Arial" w:cs="Arial"/>
                <w:color w:val="404040"/>
                <w:sz w:val="24"/>
                <w:szCs w:val="24"/>
                <w:lang w:eastAsia="pt-PT"/>
              </w:rPr>
            </w:pPr>
            <w:r w:rsidRPr="00B83CF1">
              <w:rPr>
                <w:rFonts w:ascii="Arial" w:eastAsia="Times New Roman" w:hAnsi="Arial" w:cs="Arial"/>
                <w:color w:val="404040"/>
                <w:sz w:val="24"/>
                <w:szCs w:val="24"/>
                <w:lang w:eastAsia="pt-PT"/>
              </w:rPr>
              <w:t>Retrospectiva</w:t>
            </w:r>
          </w:p>
        </w:tc>
      </w:tr>
    </w:tbl>
    <w:p w:rsidR="00B83CF1" w:rsidRDefault="00B83CF1" w:rsidP="00F25306">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É ainda imprescindível não esquecer as divulgações (materialmente relevantes) exigidas em cada um desses casos, uma vez que são as mesmas que conferem, em grande parte, fiabilidade às alterações executadas, em particular, e às contas da entidade, em geral.</w:t>
      </w:r>
    </w:p>
    <w:p w:rsidR="00F25306" w:rsidRPr="00F25306" w:rsidRDefault="00F25306" w:rsidP="00F25306">
      <w:pPr>
        <w:spacing w:before="58" w:line="240" w:lineRule="auto"/>
        <w:jc w:val="both"/>
        <w:rPr>
          <w:rFonts w:ascii="Arial" w:eastAsia="Times New Roman" w:hAnsi="Arial" w:cs="Arial"/>
          <w:sz w:val="24"/>
          <w:szCs w:val="24"/>
          <w:lang w:eastAsia="pt-PT"/>
        </w:rPr>
      </w:pPr>
    </w:p>
    <w:p w:rsidR="00B83CF1" w:rsidRPr="00B83CF1" w:rsidRDefault="00B83CF1" w:rsidP="00B83CF1">
      <w:pPr>
        <w:spacing w:before="115" w:line="264" w:lineRule="auto"/>
        <w:outlineLvl w:val="2"/>
        <w:rPr>
          <w:rFonts w:ascii="Georgia" w:eastAsia="Times New Roman" w:hAnsi="Georgia" w:cs="Arial"/>
          <w:color w:val="FF0000"/>
          <w:spacing w:val="-12"/>
          <w:sz w:val="42"/>
          <w:szCs w:val="42"/>
          <w:lang w:eastAsia="pt-PT"/>
        </w:rPr>
      </w:pPr>
      <w:bookmarkStart w:id="11" w:name="_Toc290996386"/>
      <w:r w:rsidRPr="00B83CF1">
        <w:rPr>
          <w:rFonts w:ascii="Georgia" w:eastAsia="Times New Roman" w:hAnsi="Georgia" w:cs="Arial"/>
          <w:color w:val="FF0000"/>
          <w:spacing w:val="-12"/>
          <w:sz w:val="42"/>
          <w:szCs w:val="42"/>
          <w:lang w:eastAsia="pt-PT"/>
        </w:rPr>
        <w:t>NCRF 5 - Divulgações de partes relacionadas - Comentário e explicações</w:t>
      </w:r>
      <w:bookmarkEnd w:id="11"/>
      <w:r w:rsidRPr="00B83CF1">
        <w:rPr>
          <w:rFonts w:ascii="Georgia" w:eastAsia="Times New Roman" w:hAnsi="Georgia" w:cs="Arial"/>
          <w:color w:val="FF0000"/>
          <w:spacing w:val="-12"/>
          <w:sz w:val="42"/>
          <w:szCs w:val="42"/>
          <w:lang w:eastAsia="pt-PT"/>
        </w:rPr>
        <w:t xml:space="preserve"> </w:t>
      </w:r>
    </w:p>
    <w:p w:rsidR="00B83CF1" w:rsidRDefault="00B83CF1" w:rsidP="00B83CF1">
      <w:pPr>
        <w:spacing w:line="276" w:lineRule="atLeast"/>
        <w:jc w:val="both"/>
        <w:rPr>
          <w:rFonts w:ascii="Arial" w:hAnsi="Arial" w:cs="Arial"/>
          <w:b/>
          <w:bCs/>
          <w:color w:val="444444"/>
          <w:sz w:val="21"/>
          <w:szCs w:val="21"/>
        </w:rPr>
      </w:pPr>
      <w:r>
        <w:rPr>
          <w:rFonts w:ascii="Arial" w:hAnsi="Arial" w:cs="Arial"/>
          <w:b/>
          <w:bCs/>
          <w:color w:val="444444"/>
          <w:sz w:val="21"/>
          <w:szCs w:val="21"/>
        </w:rPr>
        <w:t>A existência de regras de mercado e de distintos normativos contabilísticos motiva o estabelecimento de deveres de conduta e obrigações de informação pública que incidem sobre transacções efectuadas com determinadas pessoas ou entidades, consideradas partes relacionadas - entidades com especiais relações comerciais, accionistas, familiares, entre outras.</w:t>
      </w:r>
    </w:p>
    <w:p w:rsidR="00B83CF1" w:rsidRDefault="00B83CF1" w:rsidP="00B83CF1">
      <w:pPr>
        <w:spacing w:line="240" w:lineRule="auto"/>
        <w:jc w:val="both"/>
        <w:rPr>
          <w:rFonts w:ascii="Arial" w:hAnsi="Arial" w:cs="Arial"/>
          <w:sz w:val="24"/>
          <w:szCs w:val="24"/>
        </w:rPr>
      </w:pPr>
      <w:r>
        <w:rPr>
          <w:rFonts w:ascii="Arial" w:hAnsi="Arial" w:cs="Arial"/>
        </w:rPr>
        <w:br/>
        <w:t>A NCRF 5 (baseada na IAS 24, que possui similar designação) tem como objectivo central incluir as divulgações necessárias para chamar a atenção para a possibilidade de que a posição financeira e resultados de uma entidade num determinado momento de prestação de contas possam ter sido afectados pela existência de partes relacionadas e por transacções e saldos pendentes com as mesmas.</w:t>
      </w:r>
    </w:p>
    <w:p w:rsidR="00B83CF1" w:rsidRDefault="00B83CF1" w:rsidP="00B83CF1">
      <w:pPr>
        <w:pStyle w:val="NormalWeb"/>
        <w:jc w:val="both"/>
        <w:rPr>
          <w:rFonts w:ascii="Arial" w:hAnsi="Arial" w:cs="Arial"/>
        </w:rPr>
      </w:pPr>
      <w:r>
        <w:rPr>
          <w:rStyle w:val="Forte"/>
          <w:rFonts w:ascii="Arial" w:hAnsi="Arial" w:cs="Arial"/>
        </w:rPr>
        <w:lastRenderedPageBreak/>
        <w:t>Partes relacionadas</w:t>
      </w:r>
    </w:p>
    <w:p w:rsidR="00B83CF1" w:rsidRDefault="00B83CF1" w:rsidP="00B83CF1">
      <w:pPr>
        <w:pStyle w:val="NormalWeb"/>
        <w:jc w:val="both"/>
        <w:rPr>
          <w:rFonts w:ascii="Arial" w:hAnsi="Arial" w:cs="Arial"/>
        </w:rPr>
      </w:pPr>
      <w:r>
        <w:rPr>
          <w:rFonts w:ascii="Arial" w:hAnsi="Arial" w:cs="Arial"/>
        </w:rPr>
        <w:t xml:space="preserve">Uma parte está relacionada com uma entidade </w:t>
      </w:r>
      <w:proofErr w:type="gramStart"/>
      <w:r>
        <w:rPr>
          <w:rFonts w:ascii="Arial" w:hAnsi="Arial" w:cs="Arial"/>
        </w:rPr>
        <w:t>se</w:t>
      </w:r>
      <w:proofErr w:type="gramEnd"/>
      <w:r>
        <w:rPr>
          <w:rFonts w:ascii="Arial" w:hAnsi="Arial" w:cs="Arial"/>
        </w:rPr>
        <w:t>:</w:t>
      </w:r>
    </w:p>
    <w:p w:rsidR="00B83CF1" w:rsidRDefault="00B83CF1" w:rsidP="00B83CF1">
      <w:pPr>
        <w:pStyle w:val="NormalWeb"/>
        <w:jc w:val="both"/>
        <w:rPr>
          <w:rFonts w:ascii="Arial" w:hAnsi="Arial" w:cs="Arial"/>
        </w:rPr>
      </w:pPr>
      <w:r>
        <w:rPr>
          <w:rFonts w:ascii="Arial" w:hAnsi="Arial" w:cs="Arial"/>
        </w:rPr>
        <w:t>a) Houver controlo (directo ou indirecto);</w:t>
      </w:r>
      <w:r>
        <w:rPr>
          <w:rFonts w:ascii="Arial" w:hAnsi="Arial" w:cs="Arial"/>
        </w:rPr>
        <w:br/>
        <w:t>b) A parte for associada ou um empreendimento conjunto (ver NCRF 13 - Interesses em Empreendimentos Conjuntos e Investimentos em Associadas);</w:t>
      </w:r>
      <w:r>
        <w:rPr>
          <w:rFonts w:ascii="Arial" w:hAnsi="Arial" w:cs="Arial"/>
        </w:rPr>
        <w:br/>
        <w:t>c) A parte for membro do pessoal chave da gestão da entidade ou da empresa-mãe;</w:t>
      </w:r>
      <w:r>
        <w:rPr>
          <w:rFonts w:ascii="Arial" w:hAnsi="Arial" w:cs="Arial"/>
        </w:rPr>
        <w:br/>
        <w:t>d) A parte for um membro íntimo da família de qualquer indivíduo referido nas alíneas (a) e (c) anteriores;</w:t>
      </w:r>
      <w:r>
        <w:rPr>
          <w:rFonts w:ascii="Arial" w:hAnsi="Arial" w:cs="Arial"/>
        </w:rPr>
        <w:br/>
        <w:t>e) A parte for uma entidade sobre a qual qualquer indivíduo referido nas alíneas (c) ou (d) exerce o controlo; ou</w:t>
      </w:r>
      <w:r>
        <w:rPr>
          <w:rFonts w:ascii="Arial" w:hAnsi="Arial" w:cs="Arial"/>
        </w:rPr>
        <w:br/>
        <w:t>f) A parte for um plano de benefícios pós-emprego para benefício dos empregados da entidade, ou de qualquer entidade que seja uma parte relacionada dessa entidade.</w:t>
      </w:r>
    </w:p>
    <w:p w:rsidR="00B83CF1" w:rsidRDefault="00B83CF1" w:rsidP="00B83CF1">
      <w:pPr>
        <w:pStyle w:val="NormalWeb"/>
        <w:jc w:val="both"/>
        <w:rPr>
          <w:rFonts w:ascii="Arial" w:hAnsi="Arial" w:cs="Arial"/>
        </w:rPr>
      </w:pPr>
      <w:r>
        <w:rPr>
          <w:rFonts w:ascii="Arial" w:hAnsi="Arial" w:cs="Arial"/>
        </w:rPr>
        <w:t>Por exemplo, se uma empresa é dirigida pelo marido e outra pela esposa, considera-se que essas duas empresas são partes relacionadas, devendo esse facto ser divulgado, mesmo que não existam transacções ou saldos pendentes, até porque um relacionamento com partes relacionadas pode ter efeito nos resultados e na posição financeira de uma entidade.</w:t>
      </w:r>
    </w:p>
    <w:p w:rsidR="00B83CF1" w:rsidRDefault="00B83CF1" w:rsidP="00B83CF1">
      <w:pPr>
        <w:pStyle w:val="NormalWeb"/>
        <w:jc w:val="both"/>
        <w:rPr>
          <w:rFonts w:ascii="Arial" w:hAnsi="Arial" w:cs="Arial"/>
        </w:rPr>
      </w:pPr>
      <w:r>
        <w:rPr>
          <w:rFonts w:ascii="Arial" w:hAnsi="Arial" w:cs="Arial"/>
        </w:rPr>
        <w:t xml:space="preserve">As partes relacionadas podem efectuar transacções que </w:t>
      </w:r>
      <w:proofErr w:type="gramStart"/>
      <w:r>
        <w:rPr>
          <w:rFonts w:ascii="Arial" w:hAnsi="Arial" w:cs="Arial"/>
        </w:rPr>
        <w:t>partes</w:t>
      </w:r>
      <w:proofErr w:type="gramEnd"/>
      <w:r>
        <w:rPr>
          <w:rFonts w:ascii="Arial" w:hAnsi="Arial" w:cs="Arial"/>
        </w:rPr>
        <w:t xml:space="preserve"> não relacionadas não </w:t>
      </w:r>
      <w:proofErr w:type="gramStart"/>
      <w:r>
        <w:rPr>
          <w:rFonts w:ascii="Arial" w:hAnsi="Arial" w:cs="Arial"/>
        </w:rPr>
        <w:t>realizariam</w:t>
      </w:r>
      <w:proofErr w:type="gramEnd"/>
      <w:r>
        <w:rPr>
          <w:rFonts w:ascii="Arial" w:hAnsi="Arial" w:cs="Arial"/>
        </w:rPr>
        <w:t xml:space="preserve"> e que têm efeito nos resultados e na posição financeira de uma entidade e os resultados e a posição financeira de uma entidade podem ser afectados por um relacionamento com partes relacionadas mesmo que não ocorram transacções entre si.</w:t>
      </w:r>
    </w:p>
    <w:p w:rsidR="00B83CF1" w:rsidRDefault="00B83CF1" w:rsidP="00B83CF1">
      <w:pPr>
        <w:pStyle w:val="NormalWeb"/>
        <w:jc w:val="both"/>
        <w:rPr>
          <w:rFonts w:ascii="Arial" w:hAnsi="Arial" w:cs="Arial"/>
        </w:rPr>
      </w:pPr>
      <w:r>
        <w:rPr>
          <w:rFonts w:ascii="Arial" w:hAnsi="Arial" w:cs="Arial"/>
        </w:rPr>
        <w:t>Por estas razões, o conhecimento de transacções, saldos pendentes e relacionamentos com partes relacionadas pode afectar as avaliações das operações de uma entidade por parte dos utentes das demonstrações financeiras, incluindo avaliações dos riscos e de oportunidades que se deparem à entidade.</w:t>
      </w:r>
    </w:p>
    <w:p w:rsidR="00B83CF1" w:rsidRDefault="00B83CF1" w:rsidP="00B83CF1">
      <w:pPr>
        <w:pStyle w:val="NormalWeb"/>
        <w:jc w:val="both"/>
        <w:rPr>
          <w:rFonts w:ascii="Arial" w:hAnsi="Arial" w:cs="Arial"/>
        </w:rPr>
      </w:pPr>
      <w:r>
        <w:rPr>
          <w:rFonts w:ascii="Arial" w:hAnsi="Arial" w:cs="Arial"/>
        </w:rPr>
        <w:t>Ao considerar cada possível relacionamento com partes relacionadas, deve prestar-se atenção para a substância do relacionamento e não meramente para a forma legal.</w:t>
      </w:r>
    </w:p>
    <w:p w:rsidR="00B83CF1" w:rsidRDefault="00B83CF1" w:rsidP="00B83CF1">
      <w:pPr>
        <w:pStyle w:val="NormalWeb"/>
        <w:jc w:val="both"/>
        <w:rPr>
          <w:rFonts w:ascii="Arial" w:hAnsi="Arial" w:cs="Arial"/>
        </w:rPr>
      </w:pPr>
      <w:r>
        <w:rPr>
          <w:rFonts w:ascii="Arial" w:hAnsi="Arial" w:cs="Arial"/>
        </w:rPr>
        <w:t>No conjunto das transacções e saldos pendentes com partes relacionadas, só não serão objecto de divulgação as transacções e saldos pendentes intra-grupo (empresa-mãe e subsidiárias), tratando-se das demonstrações financeiras consolidadas.</w:t>
      </w:r>
    </w:p>
    <w:p w:rsidR="00B83CF1" w:rsidRDefault="00B83CF1" w:rsidP="00B83CF1">
      <w:pPr>
        <w:pStyle w:val="NormalWeb"/>
        <w:jc w:val="both"/>
        <w:rPr>
          <w:rFonts w:ascii="Arial" w:hAnsi="Arial" w:cs="Arial"/>
        </w:rPr>
      </w:pPr>
      <w:r>
        <w:rPr>
          <w:rFonts w:ascii="Arial" w:hAnsi="Arial" w:cs="Arial"/>
        </w:rPr>
        <w:t>Uma entidade deve divulgar o nome da empresa-mãe imediata e, se for diferente, o nome da empresa-mãe controladora final. Se nem a empresa-mãe imediata da entidade nem a empresa-mãe controladora final produzirem demonstrações financeiras disponíveis para uso público, deve também ser divulgado o nome da empresa-mãe intermédia superior seguinte que as produza.</w:t>
      </w:r>
    </w:p>
    <w:p w:rsidR="00B83CF1" w:rsidRDefault="00B83CF1" w:rsidP="00B83CF1">
      <w:pPr>
        <w:pStyle w:val="info"/>
        <w:jc w:val="both"/>
        <w:rPr>
          <w:rFonts w:ascii="Arial" w:hAnsi="Arial" w:cs="Arial"/>
        </w:rPr>
      </w:pPr>
      <w:r>
        <w:rPr>
          <w:rFonts w:ascii="Arial" w:hAnsi="Arial" w:cs="Arial"/>
        </w:rPr>
        <w:t>Na identificação, deve-se sempre referir se as empresas estão inseridas num grupo.</w:t>
      </w:r>
    </w:p>
    <w:p w:rsidR="00B83CF1" w:rsidRDefault="00B83CF1" w:rsidP="00B83CF1">
      <w:pPr>
        <w:pStyle w:val="NormalWeb"/>
        <w:jc w:val="both"/>
        <w:rPr>
          <w:rFonts w:ascii="Arial" w:hAnsi="Arial" w:cs="Arial"/>
        </w:rPr>
      </w:pPr>
      <w:r>
        <w:rPr>
          <w:rStyle w:val="Forte"/>
          <w:rFonts w:ascii="Arial" w:hAnsi="Arial" w:cs="Arial"/>
        </w:rPr>
        <w:t>Divulgações</w:t>
      </w:r>
    </w:p>
    <w:p w:rsidR="00B83CF1" w:rsidRDefault="00B83CF1" w:rsidP="00B83CF1">
      <w:pPr>
        <w:pStyle w:val="NormalWeb"/>
        <w:jc w:val="both"/>
        <w:rPr>
          <w:rFonts w:ascii="Arial" w:hAnsi="Arial" w:cs="Arial"/>
        </w:rPr>
      </w:pPr>
      <w:r>
        <w:rPr>
          <w:rFonts w:ascii="Arial" w:hAnsi="Arial" w:cs="Arial"/>
        </w:rPr>
        <w:lastRenderedPageBreak/>
        <w:t>Uma entidade deve divulgar a remuneração do pessoal chave da gestão no total e para cada uma das seguintes categorias:</w:t>
      </w:r>
    </w:p>
    <w:p w:rsidR="00B83CF1" w:rsidRDefault="00B83CF1" w:rsidP="00B83CF1">
      <w:pPr>
        <w:numPr>
          <w:ilvl w:val="0"/>
          <w:numId w:val="14"/>
        </w:numPr>
        <w:spacing w:before="100" w:beforeAutospacing="1" w:after="100" w:afterAutospacing="1" w:line="240" w:lineRule="auto"/>
        <w:ind w:left="259"/>
        <w:jc w:val="both"/>
        <w:rPr>
          <w:rFonts w:ascii="Arial" w:hAnsi="Arial" w:cs="Arial"/>
        </w:rPr>
      </w:pPr>
      <w:r>
        <w:rPr>
          <w:rFonts w:ascii="Arial" w:hAnsi="Arial" w:cs="Arial"/>
        </w:rPr>
        <w:t xml:space="preserve">Benefícios de curto prazo dos empregados; </w:t>
      </w:r>
    </w:p>
    <w:p w:rsidR="00B83CF1" w:rsidRDefault="00B83CF1" w:rsidP="00B83CF1">
      <w:pPr>
        <w:numPr>
          <w:ilvl w:val="0"/>
          <w:numId w:val="14"/>
        </w:numPr>
        <w:spacing w:before="100" w:beforeAutospacing="1" w:after="100" w:afterAutospacing="1" w:line="240" w:lineRule="auto"/>
        <w:ind w:left="259"/>
        <w:jc w:val="both"/>
        <w:rPr>
          <w:rFonts w:ascii="Arial" w:hAnsi="Arial" w:cs="Arial"/>
        </w:rPr>
      </w:pPr>
      <w:proofErr w:type="gramStart"/>
      <w:r>
        <w:rPr>
          <w:rFonts w:ascii="Arial" w:hAnsi="Arial" w:cs="Arial"/>
        </w:rPr>
        <w:t>Benefícios</w:t>
      </w:r>
      <w:proofErr w:type="gramEnd"/>
      <w:r>
        <w:rPr>
          <w:rFonts w:ascii="Arial" w:hAnsi="Arial" w:cs="Arial"/>
        </w:rPr>
        <w:t xml:space="preserve"> </w:t>
      </w:r>
      <w:proofErr w:type="gramStart"/>
      <w:r>
        <w:rPr>
          <w:rFonts w:ascii="Arial" w:hAnsi="Arial" w:cs="Arial"/>
        </w:rPr>
        <w:t>pós-emprego</w:t>
      </w:r>
      <w:proofErr w:type="gramEnd"/>
      <w:r>
        <w:rPr>
          <w:rFonts w:ascii="Arial" w:hAnsi="Arial" w:cs="Arial"/>
        </w:rPr>
        <w:t xml:space="preserve">; </w:t>
      </w:r>
    </w:p>
    <w:p w:rsidR="00B83CF1" w:rsidRDefault="00B83CF1" w:rsidP="00B83CF1">
      <w:pPr>
        <w:numPr>
          <w:ilvl w:val="0"/>
          <w:numId w:val="14"/>
        </w:numPr>
        <w:spacing w:before="100" w:beforeAutospacing="1" w:after="100" w:afterAutospacing="1" w:line="240" w:lineRule="auto"/>
        <w:ind w:left="259"/>
        <w:jc w:val="both"/>
        <w:rPr>
          <w:rFonts w:ascii="Arial" w:hAnsi="Arial" w:cs="Arial"/>
        </w:rPr>
      </w:pPr>
      <w:r>
        <w:rPr>
          <w:rFonts w:ascii="Arial" w:hAnsi="Arial" w:cs="Arial"/>
        </w:rPr>
        <w:t xml:space="preserve">Outros benefícios de longo prazo; </w:t>
      </w:r>
    </w:p>
    <w:p w:rsidR="00B83CF1" w:rsidRDefault="00B83CF1" w:rsidP="00B83CF1">
      <w:pPr>
        <w:numPr>
          <w:ilvl w:val="0"/>
          <w:numId w:val="14"/>
        </w:numPr>
        <w:spacing w:before="100" w:beforeAutospacing="1" w:after="100" w:afterAutospacing="1" w:line="240" w:lineRule="auto"/>
        <w:ind w:left="259"/>
        <w:jc w:val="both"/>
        <w:rPr>
          <w:rFonts w:ascii="Arial" w:hAnsi="Arial" w:cs="Arial"/>
        </w:rPr>
      </w:pPr>
      <w:r>
        <w:rPr>
          <w:rFonts w:ascii="Arial" w:hAnsi="Arial" w:cs="Arial"/>
        </w:rPr>
        <w:t xml:space="preserve">Benefícios por cessação de emprego; e </w:t>
      </w:r>
    </w:p>
    <w:p w:rsidR="00B83CF1" w:rsidRDefault="00B83CF1" w:rsidP="00B83CF1">
      <w:pPr>
        <w:numPr>
          <w:ilvl w:val="0"/>
          <w:numId w:val="14"/>
        </w:numPr>
        <w:spacing w:before="100" w:beforeAutospacing="1" w:after="100" w:afterAutospacing="1" w:line="240" w:lineRule="auto"/>
        <w:ind w:left="259"/>
        <w:jc w:val="both"/>
        <w:rPr>
          <w:rFonts w:ascii="Arial" w:hAnsi="Arial" w:cs="Arial"/>
        </w:rPr>
      </w:pPr>
      <w:r>
        <w:rPr>
          <w:rFonts w:ascii="Arial" w:hAnsi="Arial" w:cs="Arial"/>
        </w:rPr>
        <w:t xml:space="preserve">Pagamento com base em acções. </w:t>
      </w:r>
    </w:p>
    <w:p w:rsidR="00B83CF1" w:rsidRDefault="00B83CF1" w:rsidP="00B83CF1">
      <w:pPr>
        <w:pStyle w:val="NormalWeb"/>
        <w:jc w:val="both"/>
        <w:rPr>
          <w:rFonts w:ascii="Arial" w:hAnsi="Arial" w:cs="Arial"/>
        </w:rPr>
      </w:pPr>
      <w:r>
        <w:rPr>
          <w:rFonts w:ascii="Arial" w:hAnsi="Arial" w:cs="Arial"/>
        </w:rPr>
        <w:t>Se tiver havido transacções entre partes relacionadas, uma entidade deve divulgar a natureza do relacionamento com as partes relacionadas, assim como informação sobre transacções e saldos pendentes, necessária para a compreensão do potencial efeito do relacionamento nas demonstrações financeiras.</w:t>
      </w:r>
    </w:p>
    <w:p w:rsidR="00B83CF1" w:rsidRDefault="00B83CF1" w:rsidP="00B83CF1">
      <w:pPr>
        <w:pStyle w:val="NormalWeb"/>
        <w:jc w:val="both"/>
        <w:rPr>
          <w:rFonts w:ascii="Arial" w:hAnsi="Arial" w:cs="Arial"/>
        </w:rPr>
      </w:pPr>
      <w:r>
        <w:rPr>
          <w:rFonts w:ascii="Arial" w:hAnsi="Arial" w:cs="Arial"/>
        </w:rPr>
        <w:t>No mínimo, devem incluir:</w:t>
      </w:r>
    </w:p>
    <w:p w:rsidR="00B83CF1" w:rsidRDefault="00B83CF1" w:rsidP="00B83CF1">
      <w:pPr>
        <w:numPr>
          <w:ilvl w:val="0"/>
          <w:numId w:val="15"/>
        </w:numPr>
        <w:spacing w:before="100" w:beforeAutospacing="1" w:after="100" w:afterAutospacing="1" w:line="240" w:lineRule="auto"/>
        <w:ind w:left="259"/>
        <w:jc w:val="both"/>
        <w:rPr>
          <w:rFonts w:ascii="Arial" w:hAnsi="Arial" w:cs="Arial"/>
        </w:rPr>
      </w:pPr>
      <w:r>
        <w:rPr>
          <w:rFonts w:ascii="Arial" w:hAnsi="Arial" w:cs="Arial"/>
        </w:rPr>
        <w:t xml:space="preserve">A quantia das transacções; </w:t>
      </w:r>
    </w:p>
    <w:p w:rsidR="00B83CF1" w:rsidRDefault="00B83CF1" w:rsidP="00B83CF1">
      <w:pPr>
        <w:numPr>
          <w:ilvl w:val="0"/>
          <w:numId w:val="15"/>
        </w:numPr>
        <w:spacing w:before="100" w:beforeAutospacing="1" w:after="100" w:afterAutospacing="1" w:line="240" w:lineRule="auto"/>
        <w:ind w:left="259"/>
        <w:jc w:val="both"/>
        <w:rPr>
          <w:rFonts w:ascii="Arial" w:hAnsi="Arial" w:cs="Arial"/>
        </w:rPr>
      </w:pPr>
      <w:r>
        <w:rPr>
          <w:rFonts w:ascii="Arial" w:hAnsi="Arial" w:cs="Arial"/>
        </w:rPr>
        <w:t xml:space="preserve">A quantia dos saldos pendentes; </w:t>
      </w:r>
    </w:p>
    <w:p w:rsidR="00B83CF1" w:rsidRDefault="00B83CF1" w:rsidP="00B83CF1">
      <w:pPr>
        <w:numPr>
          <w:ilvl w:val="0"/>
          <w:numId w:val="15"/>
        </w:numPr>
        <w:spacing w:before="100" w:beforeAutospacing="1" w:after="100" w:afterAutospacing="1" w:line="240" w:lineRule="auto"/>
        <w:ind w:left="259"/>
        <w:jc w:val="both"/>
        <w:rPr>
          <w:rFonts w:ascii="Arial" w:hAnsi="Arial" w:cs="Arial"/>
        </w:rPr>
      </w:pPr>
      <w:r>
        <w:rPr>
          <w:rFonts w:ascii="Arial" w:hAnsi="Arial" w:cs="Arial"/>
        </w:rPr>
        <w:t xml:space="preserve">Ajustamentos de dívidas de cobrança duvidosa relacionados com a quantia dos saldos pendentes; e </w:t>
      </w:r>
    </w:p>
    <w:p w:rsidR="00B83CF1" w:rsidRDefault="00B83CF1" w:rsidP="00B83CF1">
      <w:pPr>
        <w:numPr>
          <w:ilvl w:val="0"/>
          <w:numId w:val="15"/>
        </w:numPr>
        <w:spacing w:before="100" w:beforeAutospacing="1" w:after="100" w:afterAutospacing="1" w:line="240" w:lineRule="auto"/>
        <w:ind w:left="259"/>
        <w:jc w:val="both"/>
        <w:rPr>
          <w:rFonts w:ascii="Arial" w:hAnsi="Arial" w:cs="Arial"/>
        </w:rPr>
      </w:pPr>
      <w:r>
        <w:rPr>
          <w:rFonts w:ascii="Arial" w:hAnsi="Arial" w:cs="Arial"/>
        </w:rPr>
        <w:t xml:space="preserve">Os gastos reconhecidos durante o período a respeito de dívidas incobráveis ou de cobrança duvidosa de partes relacionadas. </w:t>
      </w:r>
    </w:p>
    <w:p w:rsidR="00B83CF1" w:rsidRDefault="00B83CF1" w:rsidP="00B83CF1">
      <w:pPr>
        <w:pStyle w:val="NormalWeb"/>
        <w:jc w:val="both"/>
        <w:rPr>
          <w:rFonts w:ascii="Arial" w:hAnsi="Arial" w:cs="Arial"/>
        </w:rPr>
      </w:pPr>
      <w:r>
        <w:rPr>
          <w:rFonts w:ascii="Arial" w:hAnsi="Arial" w:cs="Arial"/>
        </w:rPr>
        <w:t>As divulgações exigidas no parágrafo anterior devem ser feitas separadamente para cada uma das seguintes categorias:</w:t>
      </w:r>
    </w:p>
    <w:p w:rsidR="00B83CF1" w:rsidRDefault="00B83CF1" w:rsidP="00F25306">
      <w:pPr>
        <w:pStyle w:val="NormalWeb"/>
        <w:rPr>
          <w:rFonts w:ascii="Arial" w:hAnsi="Arial" w:cs="Arial"/>
        </w:rPr>
      </w:pPr>
      <w:r>
        <w:rPr>
          <w:rFonts w:ascii="Arial" w:hAnsi="Arial" w:cs="Arial"/>
        </w:rPr>
        <w:t>a) Empresa-mãe;</w:t>
      </w:r>
      <w:r>
        <w:rPr>
          <w:rFonts w:ascii="Arial" w:hAnsi="Arial" w:cs="Arial"/>
        </w:rPr>
        <w:br/>
        <w:t>b) Entidades com controlo conjunto ou influência significativa;</w:t>
      </w:r>
      <w:r>
        <w:rPr>
          <w:rFonts w:ascii="Arial" w:hAnsi="Arial" w:cs="Arial"/>
        </w:rPr>
        <w:br/>
        <w:t>c) Subsidiárias;</w:t>
      </w:r>
      <w:r>
        <w:rPr>
          <w:rFonts w:ascii="Arial" w:hAnsi="Arial" w:cs="Arial"/>
        </w:rPr>
        <w:br/>
        <w:t>d) Associadas;</w:t>
      </w:r>
      <w:r>
        <w:rPr>
          <w:rFonts w:ascii="Arial" w:hAnsi="Arial" w:cs="Arial"/>
        </w:rPr>
        <w:br/>
        <w:t>e) Empreendimentos conjuntos nos quais a entidade seja um empreendedor;</w:t>
      </w:r>
      <w:r>
        <w:rPr>
          <w:rFonts w:ascii="Arial" w:hAnsi="Arial" w:cs="Arial"/>
        </w:rPr>
        <w:br/>
        <w:t>f) Pessoal chave da gestão da entidade ou da empresa-mãe;</w:t>
      </w:r>
      <w:r>
        <w:rPr>
          <w:rFonts w:ascii="Arial" w:hAnsi="Arial" w:cs="Arial"/>
        </w:rPr>
        <w:br/>
        <w:t xml:space="preserve">g) </w:t>
      </w:r>
      <w:proofErr w:type="gramStart"/>
      <w:r>
        <w:rPr>
          <w:rFonts w:ascii="Arial" w:hAnsi="Arial" w:cs="Arial"/>
        </w:rPr>
        <w:t>Outras partes</w:t>
      </w:r>
      <w:proofErr w:type="gramEnd"/>
      <w:r>
        <w:rPr>
          <w:rFonts w:ascii="Arial" w:hAnsi="Arial" w:cs="Arial"/>
        </w:rPr>
        <w:t xml:space="preserve"> relacionadas (família, por exemplo).</w:t>
      </w:r>
    </w:p>
    <w:p w:rsidR="00B83CF1" w:rsidRDefault="00B83CF1" w:rsidP="00B83CF1">
      <w:pPr>
        <w:pStyle w:val="NormalWeb"/>
        <w:jc w:val="both"/>
        <w:rPr>
          <w:rFonts w:ascii="Arial" w:hAnsi="Arial" w:cs="Arial"/>
        </w:rPr>
      </w:pPr>
      <w:r>
        <w:rPr>
          <w:rStyle w:val="Forte"/>
          <w:rFonts w:ascii="Arial" w:hAnsi="Arial" w:cs="Arial"/>
        </w:rPr>
        <w:t>Exemplo de uma divulgação sobre partes relacionadas</w:t>
      </w:r>
    </w:p>
    <w:p w:rsidR="00B83CF1" w:rsidRDefault="00B83CF1" w:rsidP="00B83CF1">
      <w:pPr>
        <w:pStyle w:val="NormalWeb"/>
        <w:jc w:val="both"/>
        <w:rPr>
          <w:rFonts w:ascii="Arial" w:hAnsi="Arial" w:cs="Arial"/>
        </w:rPr>
      </w:pPr>
      <w:r>
        <w:rPr>
          <w:rFonts w:ascii="Arial" w:hAnsi="Arial" w:cs="Arial"/>
        </w:rPr>
        <w:t>Atente-se no exemplo retirado do Anexo às Demonstrações Financeiras Consolidadas da empresa SONAECOM - Nota 35. Partes Relacionadas:</w:t>
      </w:r>
    </w:p>
    <w:p w:rsidR="00B83CF1" w:rsidRDefault="00B83CF1" w:rsidP="00B83CF1">
      <w:pPr>
        <w:pStyle w:val="NormalWeb"/>
        <w:jc w:val="both"/>
        <w:rPr>
          <w:rFonts w:ascii="Arial" w:hAnsi="Arial" w:cs="Arial"/>
        </w:rPr>
      </w:pPr>
      <w:r>
        <w:rPr>
          <w:rFonts w:ascii="Arial" w:hAnsi="Arial" w:cs="Arial"/>
        </w:rPr>
        <w:t>Durante o exercício findo em 31 de Dezembro de 2009, os saldos e transacções mantidos com partes relacionadas respeitam, essencialmente, à actividade operacional do Grupo (prestação de serviços de telecomunicações e serviços de consultoria), bem como à concessão e obtenção de empréstimos.</w:t>
      </w:r>
    </w:p>
    <w:p w:rsidR="00B83CF1" w:rsidRDefault="00B83CF1" w:rsidP="00B83CF1">
      <w:pPr>
        <w:pStyle w:val="NormalWeb"/>
        <w:jc w:val="both"/>
        <w:rPr>
          <w:rFonts w:ascii="Arial" w:hAnsi="Arial" w:cs="Arial"/>
        </w:rPr>
      </w:pPr>
      <w:r>
        <w:rPr>
          <w:rFonts w:ascii="Arial" w:hAnsi="Arial" w:cs="Arial"/>
        </w:rPr>
        <w:t>Os saldos e transacções mais significativos efectuados com entidades relacionadas, durante o exercício findo em 31 de Dezembro de 2009, foram os seguintes:</w:t>
      </w:r>
    </w:p>
    <w:tbl>
      <w:tblPr>
        <w:tblW w:w="9435" w:type="dxa"/>
        <w:tblCellSpacing w:w="0" w:type="dxa"/>
        <w:tblInd w:w="96"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tblPr>
      <w:tblGrid>
        <w:gridCol w:w="4591"/>
        <w:gridCol w:w="1149"/>
        <w:gridCol w:w="1149"/>
        <w:gridCol w:w="1260"/>
        <w:gridCol w:w="1286"/>
      </w:tblGrid>
      <w:tr w:rsidR="00B83CF1" w:rsidTr="00B83CF1">
        <w:trPr>
          <w:trHeight w:val="567"/>
          <w:tblHeader/>
          <w:tblCellSpacing w:w="0" w:type="dxa"/>
        </w:trPr>
        <w:tc>
          <w:tcPr>
            <w:tcW w:w="2836" w:type="pct"/>
            <w:vMerge w:val="restar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bottom"/>
            <w:hideMark/>
          </w:tcPr>
          <w:p w:rsidR="00B83CF1" w:rsidRDefault="00B83CF1">
            <w:pPr>
              <w:rPr>
                <w:rFonts w:ascii="Arial" w:hAnsi="Arial" w:cs="Arial"/>
                <w:sz w:val="24"/>
                <w:szCs w:val="24"/>
              </w:rPr>
            </w:pPr>
          </w:p>
        </w:tc>
        <w:tc>
          <w:tcPr>
            <w:tcW w:w="2164" w:type="pct"/>
            <w:gridSpan w:val="4"/>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bottom"/>
            <w:hideMark/>
          </w:tcPr>
          <w:p w:rsidR="00B83CF1" w:rsidRDefault="00B83CF1">
            <w:pPr>
              <w:spacing w:before="150" w:after="300"/>
              <w:jc w:val="center"/>
              <w:rPr>
                <w:sz w:val="24"/>
                <w:szCs w:val="24"/>
              </w:rPr>
            </w:pPr>
            <w:r>
              <w:rPr>
                <w:rStyle w:val="Forte"/>
              </w:rPr>
              <w:t>Saldos em 31 de Dezembro de 2009</w:t>
            </w:r>
          </w:p>
        </w:tc>
      </w:tr>
      <w:tr w:rsidR="00B83CF1" w:rsidTr="00B83CF1">
        <w:trPr>
          <w:trHeight w:val="851"/>
          <w:tblHeade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B83CF1" w:rsidRDefault="00B83CF1">
            <w:pPr>
              <w:rPr>
                <w:rFonts w:ascii="Arial" w:hAnsi="Arial" w:cs="Arial"/>
                <w:sz w:val="24"/>
                <w:szCs w:val="24"/>
              </w:rPr>
            </w:pPr>
          </w:p>
        </w:tc>
        <w:tc>
          <w:tcPr>
            <w:tcW w:w="537" w:type="pc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bottom"/>
            <w:hideMark/>
          </w:tcPr>
          <w:p w:rsidR="00B83CF1" w:rsidRDefault="00B83CF1">
            <w:pPr>
              <w:spacing w:before="150" w:after="300"/>
              <w:jc w:val="center"/>
              <w:rPr>
                <w:sz w:val="24"/>
                <w:szCs w:val="24"/>
              </w:rPr>
            </w:pPr>
            <w:r>
              <w:rPr>
                <w:rStyle w:val="Forte"/>
              </w:rPr>
              <w:t>Contas a receber</w:t>
            </w:r>
          </w:p>
        </w:tc>
        <w:tc>
          <w:tcPr>
            <w:tcW w:w="537" w:type="pc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bottom"/>
            <w:hideMark/>
          </w:tcPr>
          <w:p w:rsidR="00B83CF1" w:rsidRDefault="00B83CF1">
            <w:pPr>
              <w:spacing w:before="150" w:after="300"/>
              <w:jc w:val="center"/>
              <w:rPr>
                <w:sz w:val="24"/>
                <w:szCs w:val="24"/>
              </w:rPr>
            </w:pPr>
            <w:r>
              <w:rPr>
                <w:rStyle w:val="Forte"/>
              </w:rPr>
              <w:t>Contas a pagar</w:t>
            </w:r>
          </w:p>
        </w:tc>
        <w:tc>
          <w:tcPr>
            <w:tcW w:w="589" w:type="pc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bottom"/>
            <w:hideMark/>
          </w:tcPr>
          <w:p w:rsidR="00B83CF1" w:rsidRDefault="00B83CF1">
            <w:pPr>
              <w:spacing w:before="150" w:after="300"/>
              <w:jc w:val="center"/>
              <w:rPr>
                <w:sz w:val="24"/>
                <w:szCs w:val="24"/>
              </w:rPr>
            </w:pPr>
            <w:r>
              <w:rPr>
                <w:rStyle w:val="Forte"/>
              </w:rPr>
              <w:t>Aplicações de tesouraria</w:t>
            </w:r>
          </w:p>
        </w:tc>
        <w:tc>
          <w:tcPr>
            <w:tcW w:w="501" w:type="pc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bottom"/>
            <w:hideMark/>
          </w:tcPr>
          <w:p w:rsidR="00B83CF1" w:rsidRDefault="00B83CF1">
            <w:pPr>
              <w:spacing w:before="150" w:after="300"/>
              <w:jc w:val="center"/>
              <w:rPr>
                <w:sz w:val="24"/>
                <w:szCs w:val="24"/>
              </w:rPr>
            </w:pPr>
            <w:r>
              <w:rPr>
                <w:rStyle w:val="Forte"/>
              </w:rPr>
              <w:t>Outros activos / (passivos)</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proofErr w:type="spellStart"/>
            <w:r>
              <w:t>Sonae</w:t>
            </w:r>
            <w:proofErr w:type="spellEnd"/>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53.353</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22.925</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501"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(269.927)</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r>
              <w:t>Modelo Continente Hipermercados, S.A.</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685.448</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2.797.523</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501"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(36.050)</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proofErr w:type="spellStart"/>
            <w:r>
              <w:t>Worten</w:t>
            </w:r>
            <w:proofErr w:type="spellEnd"/>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3.776.717</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4.238</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501"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(596.934)</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proofErr w:type="spellStart"/>
            <w:r>
              <w:t>Sonae</w:t>
            </w:r>
            <w:proofErr w:type="spellEnd"/>
            <w:r>
              <w:t xml:space="preserve"> </w:t>
            </w:r>
            <w:proofErr w:type="spellStart"/>
            <w:r>
              <w:t>Investments</w:t>
            </w:r>
            <w:proofErr w:type="spellEnd"/>
            <w:r>
              <w:t xml:space="preserve"> BV</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78.810.000</w:t>
            </w:r>
          </w:p>
        </w:tc>
        <w:tc>
          <w:tcPr>
            <w:tcW w:w="501"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11.619</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proofErr w:type="spellStart"/>
            <w:r>
              <w:t>France</w:t>
            </w:r>
            <w:proofErr w:type="spellEnd"/>
            <w:r>
              <w:t xml:space="preserve"> Telecom</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1.592.750</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1.684.684</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501"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(7.773.114)</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rPr>
                <w:rFonts w:ascii="Arial" w:hAnsi="Arial" w:cs="Arial"/>
                <w:sz w:val="24"/>
                <w:szCs w:val="24"/>
              </w:rPr>
            </w:pP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6.108.268</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4.509.370</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78.810.000</w:t>
            </w:r>
          </w:p>
        </w:tc>
        <w:tc>
          <w:tcPr>
            <w:tcW w:w="501"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(8.664.406)</w:t>
            </w:r>
          </w:p>
        </w:tc>
      </w:tr>
    </w:tbl>
    <w:p w:rsidR="00B83CF1" w:rsidRDefault="00B83CF1" w:rsidP="00B83CF1">
      <w:pPr>
        <w:rPr>
          <w:rFonts w:ascii="Arial" w:hAnsi="Arial" w:cs="Arial"/>
        </w:rPr>
      </w:pPr>
    </w:p>
    <w:tbl>
      <w:tblPr>
        <w:tblW w:w="9435" w:type="dxa"/>
        <w:tblCellSpacing w:w="0" w:type="dxa"/>
        <w:tblInd w:w="96"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tblPr>
      <w:tblGrid>
        <w:gridCol w:w="4181"/>
        <w:gridCol w:w="1256"/>
        <w:gridCol w:w="1315"/>
        <w:gridCol w:w="1251"/>
        <w:gridCol w:w="1432"/>
      </w:tblGrid>
      <w:tr w:rsidR="00B83CF1" w:rsidTr="00B83CF1">
        <w:trPr>
          <w:trHeight w:val="680"/>
          <w:tblHeader/>
          <w:tblCellSpacing w:w="0" w:type="dxa"/>
        </w:trPr>
        <w:tc>
          <w:tcPr>
            <w:tcW w:w="2263" w:type="pct"/>
            <w:vMerge w:val="restar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bottom"/>
            <w:hideMark/>
          </w:tcPr>
          <w:p w:rsidR="00B83CF1" w:rsidRDefault="00B83CF1">
            <w:pPr>
              <w:rPr>
                <w:rFonts w:ascii="Arial" w:hAnsi="Arial" w:cs="Arial"/>
                <w:sz w:val="24"/>
                <w:szCs w:val="24"/>
              </w:rPr>
            </w:pPr>
          </w:p>
        </w:tc>
        <w:tc>
          <w:tcPr>
            <w:tcW w:w="2737" w:type="pct"/>
            <w:gridSpan w:val="4"/>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center"/>
            <w:hideMark/>
          </w:tcPr>
          <w:p w:rsidR="00B83CF1" w:rsidRDefault="00B83CF1">
            <w:pPr>
              <w:spacing w:before="150" w:after="300"/>
              <w:jc w:val="center"/>
              <w:rPr>
                <w:sz w:val="24"/>
                <w:szCs w:val="24"/>
              </w:rPr>
            </w:pPr>
            <w:r>
              <w:rPr>
                <w:rStyle w:val="Forte"/>
              </w:rPr>
              <w:t>Transacções durante o exercício findo em 31 de Dezembro de 2009</w:t>
            </w:r>
          </w:p>
        </w:tc>
      </w:tr>
      <w:tr w:rsidR="00B83CF1" w:rsidTr="00B83CF1">
        <w:trPr>
          <w:trHeight w:val="907"/>
          <w:tblHeade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B83CF1" w:rsidRDefault="00B83CF1">
            <w:pPr>
              <w:rPr>
                <w:rFonts w:ascii="Arial" w:hAnsi="Arial" w:cs="Arial"/>
                <w:sz w:val="24"/>
                <w:szCs w:val="24"/>
              </w:rPr>
            </w:pPr>
          </w:p>
        </w:tc>
        <w:tc>
          <w:tcPr>
            <w:tcW w:w="599" w:type="pc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center"/>
            <w:hideMark/>
          </w:tcPr>
          <w:p w:rsidR="00B83CF1" w:rsidRDefault="00B83CF1">
            <w:pPr>
              <w:spacing w:before="150" w:after="300"/>
              <w:jc w:val="center"/>
              <w:rPr>
                <w:sz w:val="24"/>
                <w:szCs w:val="24"/>
              </w:rPr>
            </w:pPr>
            <w:r>
              <w:rPr>
                <w:rStyle w:val="Forte"/>
              </w:rPr>
              <w:t>Vendas e prestações de serviços</w:t>
            </w:r>
          </w:p>
        </w:tc>
        <w:tc>
          <w:tcPr>
            <w:tcW w:w="622" w:type="pc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center"/>
            <w:hideMark/>
          </w:tcPr>
          <w:p w:rsidR="00B83CF1" w:rsidRDefault="00B83CF1">
            <w:pPr>
              <w:spacing w:before="150" w:after="300"/>
              <w:jc w:val="center"/>
              <w:rPr>
                <w:sz w:val="24"/>
                <w:szCs w:val="24"/>
              </w:rPr>
            </w:pPr>
            <w:r>
              <w:rPr>
                <w:rStyle w:val="Forte"/>
              </w:rPr>
              <w:t>Fornecimento e serviços externos</w:t>
            </w:r>
          </w:p>
        </w:tc>
        <w:tc>
          <w:tcPr>
            <w:tcW w:w="710" w:type="pc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center"/>
            <w:hideMark/>
          </w:tcPr>
          <w:p w:rsidR="00B83CF1" w:rsidRDefault="00B83CF1">
            <w:pPr>
              <w:spacing w:before="150" w:after="300"/>
              <w:jc w:val="center"/>
              <w:rPr>
                <w:sz w:val="24"/>
                <w:szCs w:val="24"/>
              </w:rPr>
            </w:pPr>
            <w:r>
              <w:rPr>
                <w:rStyle w:val="Forte"/>
              </w:rPr>
              <w:t>Juros obtidos / (suportados)</w:t>
            </w:r>
          </w:p>
        </w:tc>
        <w:tc>
          <w:tcPr>
            <w:tcW w:w="806" w:type="pct"/>
            <w:tcBorders>
              <w:top w:val="single" w:sz="8" w:space="0" w:color="auto"/>
              <w:left w:val="single" w:sz="8" w:space="0" w:color="auto"/>
              <w:bottom w:val="single" w:sz="8" w:space="0" w:color="auto"/>
              <w:right w:val="single" w:sz="8" w:space="0" w:color="auto"/>
            </w:tcBorders>
            <w:tcMar>
              <w:top w:w="15" w:type="dxa"/>
              <w:left w:w="0" w:type="dxa"/>
              <w:bottom w:w="30" w:type="dxa"/>
              <w:right w:w="0" w:type="dxa"/>
            </w:tcMar>
            <w:vAlign w:val="center"/>
            <w:hideMark/>
          </w:tcPr>
          <w:p w:rsidR="00B83CF1" w:rsidRDefault="00B83CF1">
            <w:pPr>
              <w:spacing w:before="150" w:after="300"/>
              <w:jc w:val="center"/>
              <w:rPr>
                <w:sz w:val="24"/>
                <w:szCs w:val="24"/>
              </w:rPr>
            </w:pPr>
            <w:r>
              <w:rPr>
                <w:rStyle w:val="Forte"/>
              </w:rPr>
              <w:t>Proveitos suplementares</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proofErr w:type="spellStart"/>
            <w:r>
              <w:t>Sonae</w:t>
            </w:r>
            <w:proofErr w:type="spellEnd"/>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306,486</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1,596,670</w:t>
            </w:r>
          </w:p>
        </w:tc>
        <w:tc>
          <w:tcPr>
            <w:tcW w:w="710"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(2,739)</w:t>
            </w:r>
          </w:p>
        </w:tc>
        <w:tc>
          <w:tcPr>
            <w:tcW w:w="806"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(5,103)</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r>
              <w:t>Modelo Continente Hipermercados, S.A.</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8,701,412</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1,375,581</w:t>
            </w:r>
          </w:p>
        </w:tc>
        <w:tc>
          <w:tcPr>
            <w:tcW w:w="710"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806"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158,024</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proofErr w:type="spellStart"/>
            <w:r>
              <w:t>Worten</w:t>
            </w:r>
            <w:proofErr w:type="spellEnd"/>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10,068,959</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3,169,730</w:t>
            </w:r>
          </w:p>
        </w:tc>
        <w:tc>
          <w:tcPr>
            <w:tcW w:w="710"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806"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proofErr w:type="spellStart"/>
            <w:r>
              <w:t>Sonae</w:t>
            </w:r>
            <w:proofErr w:type="spellEnd"/>
            <w:r>
              <w:t xml:space="preserve"> </w:t>
            </w:r>
            <w:proofErr w:type="spellStart"/>
            <w:r>
              <w:t>Investments</w:t>
            </w:r>
            <w:proofErr w:type="spellEnd"/>
            <w:r>
              <w:t xml:space="preserve"> BV</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710"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2,914,117</w:t>
            </w:r>
          </w:p>
        </w:tc>
        <w:tc>
          <w:tcPr>
            <w:tcW w:w="806"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spacing w:before="150" w:after="300"/>
              <w:rPr>
                <w:sz w:val="24"/>
                <w:szCs w:val="24"/>
              </w:rPr>
            </w:pPr>
            <w:proofErr w:type="spellStart"/>
            <w:r>
              <w:lastRenderedPageBreak/>
              <w:t>France</w:t>
            </w:r>
            <w:proofErr w:type="spellEnd"/>
            <w:r>
              <w:t xml:space="preserve"> Telecom</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15,029,005</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13,377,524</w:t>
            </w:r>
          </w:p>
        </w:tc>
        <w:tc>
          <w:tcPr>
            <w:tcW w:w="710"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c>
          <w:tcPr>
            <w:tcW w:w="806"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w:t>
            </w:r>
          </w:p>
        </w:tc>
      </w:tr>
      <w:tr w:rsidR="00B83CF1" w:rsidTr="00B83CF1">
        <w:trPr>
          <w:trHeight w:val="454"/>
          <w:tblCellSpacing w:w="0" w:type="dxa"/>
        </w:trPr>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hideMark/>
          </w:tcPr>
          <w:p w:rsidR="00B83CF1" w:rsidRDefault="00B83CF1">
            <w:pPr>
              <w:rPr>
                <w:rFonts w:ascii="Arial" w:hAnsi="Arial" w:cs="Arial"/>
                <w:sz w:val="24"/>
                <w:szCs w:val="24"/>
              </w:rPr>
            </w:pP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34,105,862</w:t>
            </w:r>
          </w:p>
        </w:tc>
        <w:tc>
          <w:tcPr>
            <w:tcW w:w="0" w:type="auto"/>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19,519,505</w:t>
            </w:r>
          </w:p>
        </w:tc>
        <w:tc>
          <w:tcPr>
            <w:tcW w:w="710"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2,911,378</w:t>
            </w:r>
          </w:p>
        </w:tc>
        <w:tc>
          <w:tcPr>
            <w:tcW w:w="806" w:type="pct"/>
            <w:tcBorders>
              <w:top w:val="single" w:sz="8" w:space="0" w:color="auto"/>
              <w:left w:val="single" w:sz="8" w:space="0" w:color="auto"/>
              <w:bottom w:val="single" w:sz="8" w:space="0" w:color="auto"/>
              <w:right w:val="single" w:sz="8" w:space="0" w:color="auto"/>
            </w:tcBorders>
            <w:tcMar>
              <w:top w:w="30" w:type="dxa"/>
              <w:left w:w="105" w:type="dxa"/>
              <w:bottom w:w="30" w:type="dxa"/>
              <w:right w:w="105" w:type="dxa"/>
            </w:tcMar>
            <w:vAlign w:val="center"/>
            <w:hideMark/>
          </w:tcPr>
          <w:p w:rsidR="00B83CF1" w:rsidRDefault="00B83CF1">
            <w:pPr>
              <w:spacing w:before="150" w:after="300"/>
              <w:jc w:val="center"/>
              <w:rPr>
                <w:sz w:val="24"/>
                <w:szCs w:val="24"/>
              </w:rPr>
            </w:pPr>
            <w:r>
              <w:rPr>
                <w:rStyle w:val="Forte"/>
              </w:rPr>
              <w:t>152,921</w:t>
            </w:r>
          </w:p>
        </w:tc>
      </w:tr>
    </w:tbl>
    <w:p w:rsidR="00B83CF1" w:rsidRDefault="00B83CF1" w:rsidP="00B83CF1">
      <w:pPr>
        <w:rPr>
          <w:rFonts w:ascii="Arial" w:hAnsi="Arial" w:cs="Arial"/>
          <w:vanish/>
        </w:rPr>
      </w:pPr>
    </w:p>
    <w:tbl>
      <w:tblPr>
        <w:tblW w:w="10080" w:type="dxa"/>
        <w:tblCellSpacing w:w="0" w:type="dxa"/>
        <w:tblInd w:w="96" w:type="dxa"/>
        <w:tblBorders>
          <w:top w:val="single" w:sz="8" w:space="0" w:color="auto"/>
          <w:left w:val="single" w:sz="8" w:space="0" w:color="auto"/>
          <w:bottom w:val="single" w:sz="8" w:space="0" w:color="auto"/>
          <w:right w:val="single" w:sz="8" w:space="0" w:color="auto"/>
        </w:tblBorders>
        <w:tblCellMar>
          <w:top w:w="12" w:type="dxa"/>
          <w:left w:w="12" w:type="dxa"/>
          <w:bottom w:w="12" w:type="dxa"/>
          <w:right w:w="12" w:type="dxa"/>
        </w:tblCellMar>
        <w:tblLook w:val="04A0"/>
      </w:tblPr>
      <w:tblGrid>
        <w:gridCol w:w="10080"/>
      </w:tblGrid>
      <w:tr w:rsidR="00B83CF1" w:rsidTr="00B83CF1">
        <w:trPr>
          <w:tblCellSpacing w:w="0" w:type="dxa"/>
        </w:trPr>
        <w:tc>
          <w:tcPr>
            <w:tcW w:w="0" w:type="auto"/>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B83CF1" w:rsidRDefault="00B83CF1">
            <w:pPr>
              <w:rPr>
                <w:rFonts w:ascii="Arial" w:hAnsi="Arial" w:cs="Arial"/>
                <w:sz w:val="24"/>
                <w:szCs w:val="24"/>
              </w:rPr>
            </w:pPr>
          </w:p>
        </w:tc>
      </w:tr>
    </w:tbl>
    <w:p w:rsidR="00B83CF1" w:rsidRDefault="00B83CF1" w:rsidP="00B83CF1">
      <w:pPr>
        <w:rPr>
          <w:rFonts w:ascii="Arial" w:hAnsi="Arial" w:cs="Arial"/>
        </w:rPr>
      </w:pPr>
      <w:r>
        <w:rPr>
          <w:rStyle w:val="nfase"/>
          <w:rFonts w:ascii="Arial" w:hAnsi="Arial" w:cs="Arial"/>
        </w:rPr>
        <w:t xml:space="preserve">Fonte: Relatório Anual 2009 </w:t>
      </w:r>
      <w:proofErr w:type="spellStart"/>
      <w:r>
        <w:rPr>
          <w:rStyle w:val="nfase"/>
          <w:rFonts w:ascii="Arial" w:hAnsi="Arial" w:cs="Arial"/>
        </w:rPr>
        <w:t>Sonaecom</w:t>
      </w:r>
      <w:proofErr w:type="spellEnd"/>
      <w:r>
        <w:rPr>
          <w:rFonts w:ascii="Arial" w:hAnsi="Arial" w:cs="Arial"/>
        </w:rPr>
        <w:t xml:space="preserve"> </w:t>
      </w:r>
    </w:p>
    <w:p w:rsidR="00B83CF1" w:rsidRDefault="00B83CF1" w:rsidP="00B83CF1">
      <w:pPr>
        <w:pStyle w:val="NormalWeb"/>
        <w:jc w:val="both"/>
        <w:rPr>
          <w:rFonts w:ascii="Arial" w:hAnsi="Arial" w:cs="Arial"/>
        </w:rPr>
      </w:pPr>
      <w:r>
        <w:rPr>
          <w:rFonts w:ascii="Arial" w:hAnsi="Arial" w:cs="Arial"/>
        </w:rPr>
        <w:t>As transacções efectuadas entre empresas do Grupo foram eliminadas no processo de consolidação, pelo que não são divulgadas nesta nota.</w:t>
      </w:r>
    </w:p>
    <w:p w:rsidR="00B83CF1" w:rsidRDefault="00B83CF1" w:rsidP="00B83CF1">
      <w:pPr>
        <w:pStyle w:val="NormalWeb"/>
        <w:jc w:val="both"/>
        <w:rPr>
          <w:rFonts w:ascii="Arial" w:hAnsi="Arial" w:cs="Arial"/>
        </w:rPr>
      </w:pPr>
      <w:r>
        <w:rPr>
          <w:rFonts w:ascii="Arial" w:hAnsi="Arial" w:cs="Arial"/>
        </w:rPr>
        <w:t>Todas as transacções acima referidas foram efectuadas a preços de mercado.</w:t>
      </w:r>
    </w:p>
    <w:p w:rsidR="00B83CF1" w:rsidRDefault="00B83CF1" w:rsidP="00B83CF1">
      <w:pPr>
        <w:pStyle w:val="NormalWeb"/>
        <w:jc w:val="both"/>
        <w:rPr>
          <w:rFonts w:ascii="Arial" w:hAnsi="Arial" w:cs="Arial"/>
        </w:rPr>
      </w:pPr>
      <w:r>
        <w:rPr>
          <w:rFonts w:ascii="Arial" w:hAnsi="Arial" w:cs="Arial"/>
        </w:rPr>
        <w:t>As contas a receber e a pagar a empresas relacionadas, serão liquidadas em numerário e não se encontram cobertas por garantias. Durante o exercício findo em 31 de Dezembro de 2009, não foram reconhecidas perdas de imparidade em contas a receber de entidades relacionadas.</w:t>
      </w:r>
    </w:p>
    <w:p w:rsidR="00B83CF1" w:rsidRDefault="00B83CF1" w:rsidP="00B83CF1">
      <w:pPr>
        <w:pStyle w:val="NormalWeb"/>
        <w:jc w:val="both"/>
        <w:rPr>
          <w:rFonts w:ascii="Arial" w:hAnsi="Arial" w:cs="Arial"/>
        </w:rPr>
      </w:pPr>
      <w:r>
        <w:rPr>
          <w:rStyle w:val="Forte"/>
          <w:rFonts w:ascii="Arial" w:hAnsi="Arial" w:cs="Arial"/>
        </w:rPr>
        <w:t>Conclusão</w:t>
      </w:r>
    </w:p>
    <w:p w:rsidR="00B83CF1" w:rsidRDefault="00B83CF1" w:rsidP="00B83CF1">
      <w:pPr>
        <w:pStyle w:val="NormalWeb"/>
        <w:jc w:val="both"/>
        <w:rPr>
          <w:rFonts w:ascii="Arial" w:hAnsi="Arial" w:cs="Arial"/>
        </w:rPr>
      </w:pPr>
      <w:r>
        <w:rPr>
          <w:rFonts w:ascii="Arial" w:hAnsi="Arial" w:cs="Arial"/>
        </w:rPr>
        <w:t>A NCRF 5 é sobretudo uma norma que visa evitar o conflito de interesses e pretende atingir uma maior transparência no reporte da informação financeira, possibilitando a produção de um conjunto de mapas financeiros que reproduzam uma imagem verdadeira e apropriada das entidades.</w:t>
      </w:r>
    </w:p>
    <w:p w:rsidR="00B83CF1" w:rsidRPr="00B83CF1" w:rsidRDefault="00B83CF1">
      <w:pPr>
        <w:rPr>
          <w:color w:val="FF0000"/>
        </w:rPr>
      </w:pPr>
    </w:p>
    <w:p w:rsidR="00B83CF1" w:rsidRDefault="00B83CF1">
      <w:pPr>
        <w:rPr>
          <w:rFonts w:ascii="Georgia" w:hAnsi="Georgia" w:cs="Arial"/>
          <w:color w:val="FF0000"/>
          <w:spacing w:val="-12"/>
          <w:sz w:val="42"/>
          <w:szCs w:val="42"/>
        </w:rPr>
      </w:pPr>
      <w:r w:rsidRPr="00B83CF1">
        <w:rPr>
          <w:rFonts w:ascii="Georgia" w:hAnsi="Georgia" w:cs="Arial"/>
          <w:color w:val="FF0000"/>
          <w:spacing w:val="-12"/>
          <w:sz w:val="42"/>
          <w:szCs w:val="42"/>
        </w:rPr>
        <w:t>NCRF 6 - Activos intangíveis - comentário e explicações</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A NCRF 6, que se baseia na IAS 38 - Activos Intangíveis, tem como finalidade prescrever o tratamento de intangíveis que não sejam tratados noutras normas.</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Os activos intangíveis podem estar contidos numa substância física tal como um disco compacto (software de computadores), documentação legal (licença ou patente) ou filme, devendo as entidades utilizar o seu juízo de valor em caso de activos que incorporem elementos tangíveis e intangíveis.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Por exemplo, na aquisição conjunta de um computador e sistema operativo e, dado que o computador não pode funcionar sem esse sistema, é relativamente consensual classificar o sistema operativo como um activo tangível.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Se adquirirmos posteriormente software de gestão ou contabilístico, por exemplo, então esse software pode ser colocado no balanço e capitalizado como activo intangível.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Esta norma aplica-se, entre outras coisas, a dispêndios com publicidade, formação, arranque e actividades de pesquisa e desenvolvimento.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Definição de activo intangível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 activo intangível é um activo não monetário identificável (é separável e resulta de direitos contratuais ou de outros direitos legais), sem substância física.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Outra característica importante remete-nos para o controlo, sendo que uma entidade controla um activo se tiver o poder de obter benefícios económicos futuros (réditos da venda de produtos ou serviços, poupanças de custos ou outros benefícios resultantes do uso do activo pela entidade) que fluam do recurso subjacente e puder restringir o acesso de outros a esses benefícios.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Note-se que, na ausência de um direito legal, é mais difícil provar o controlo.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Um activo intangível (adquirido externamente ou gerado internamente) deve ser reconhecido (ao custo) se, e apenas </w:t>
      </w:r>
      <w:proofErr w:type="gramStart"/>
      <w:r w:rsidRPr="00B83CF1">
        <w:rPr>
          <w:rFonts w:ascii="Arial" w:eastAsia="Times New Roman" w:hAnsi="Arial" w:cs="Arial"/>
          <w:sz w:val="24"/>
          <w:szCs w:val="24"/>
          <w:lang w:eastAsia="pt-PT"/>
        </w:rPr>
        <w:t>se</w:t>
      </w:r>
      <w:proofErr w:type="gramEnd"/>
      <w:r w:rsidRPr="00B83CF1">
        <w:rPr>
          <w:rFonts w:ascii="Arial" w:eastAsia="Times New Roman" w:hAnsi="Arial" w:cs="Arial"/>
          <w:sz w:val="24"/>
          <w:szCs w:val="24"/>
          <w:lang w:eastAsia="pt-PT"/>
        </w:rPr>
        <w:t>:</w:t>
      </w:r>
    </w:p>
    <w:p w:rsidR="00B83CF1" w:rsidRPr="00B83CF1" w:rsidRDefault="00B83CF1" w:rsidP="00B83CF1">
      <w:pPr>
        <w:numPr>
          <w:ilvl w:val="0"/>
          <w:numId w:val="16"/>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É provável (usar pressupostos razoáveis) que benefícios futuros que sejam atribuídos ao activo fluam para a empresa; e </w:t>
      </w:r>
    </w:p>
    <w:p w:rsidR="00B83CF1" w:rsidRPr="00B83CF1" w:rsidRDefault="00B83CF1" w:rsidP="00B83CF1">
      <w:pPr>
        <w:numPr>
          <w:ilvl w:val="0"/>
          <w:numId w:val="16"/>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custo do activo possa ser medido com fiabilidade.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Custo de um activo intangível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custo de um activo intangível adquirido inclui preço e despesas adicionais de compra.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Se for adquirido numa concentração de actividades empresariais, esse custo é o justo valor à data de aquisição e reflecte as expectativas do mercado relativas à probabilidade de que os benefícios económicos incorporados no activo fluam para a entidade.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preços de cotação num mercado activo proporcionam a estimativa mais fiável do justo valor de um activo intangível e o preço de mercado apropriado é o preço corrente de oferta.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Se os preços correntes de oferta não estiverem disponíveis, o preço de transacção semelhante mais recente pode proporcionar um critério a partir do qual se pode estimar o justo valor, desde que não tenha havido uma alteração significativa nas circunstâncias económicas entre a data da transacção e a data à qual o justo valor do activo seja estimado.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Atente-se no caso das licenças de poluição - estas licenças são activos intangíveis com mercado, no qual se transaccionam direitos contratuais para poluir.</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justo valor de um activo intangível para o qual não existam transacções de mercado comparáveis é </w:t>
      </w:r>
      <w:proofErr w:type="spellStart"/>
      <w:r w:rsidRPr="00B83CF1">
        <w:rPr>
          <w:rFonts w:ascii="Arial" w:eastAsia="Times New Roman" w:hAnsi="Arial" w:cs="Arial"/>
          <w:sz w:val="24"/>
          <w:szCs w:val="24"/>
          <w:lang w:eastAsia="pt-PT"/>
        </w:rPr>
        <w:t>fiavelmente</w:t>
      </w:r>
      <w:proofErr w:type="spellEnd"/>
      <w:r w:rsidRPr="00B83CF1">
        <w:rPr>
          <w:rFonts w:ascii="Arial" w:eastAsia="Times New Roman" w:hAnsi="Arial" w:cs="Arial"/>
          <w:sz w:val="24"/>
          <w:szCs w:val="24"/>
          <w:lang w:eastAsia="pt-PT"/>
        </w:rPr>
        <w:t xml:space="preserve"> mensurável </w:t>
      </w:r>
      <w:proofErr w:type="gramStart"/>
      <w:r w:rsidRPr="00B83CF1">
        <w:rPr>
          <w:rFonts w:ascii="Arial" w:eastAsia="Times New Roman" w:hAnsi="Arial" w:cs="Arial"/>
          <w:sz w:val="24"/>
          <w:szCs w:val="24"/>
          <w:lang w:eastAsia="pt-PT"/>
        </w:rPr>
        <w:t>se</w:t>
      </w:r>
      <w:proofErr w:type="gramEnd"/>
      <w:r w:rsidRPr="00B83CF1">
        <w:rPr>
          <w:rFonts w:ascii="Arial" w:eastAsia="Times New Roman" w:hAnsi="Arial" w:cs="Arial"/>
          <w:sz w:val="24"/>
          <w:szCs w:val="24"/>
          <w:lang w:eastAsia="pt-PT"/>
        </w:rPr>
        <w:t>:</w:t>
      </w:r>
    </w:p>
    <w:p w:rsidR="00B83CF1" w:rsidRPr="00B83CF1" w:rsidRDefault="00B83CF1" w:rsidP="00B83CF1">
      <w:pPr>
        <w:numPr>
          <w:ilvl w:val="0"/>
          <w:numId w:val="17"/>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variabilidade no intervalo de estimativas razoáveis do justo valor não for significativa para esse activo; ou </w:t>
      </w:r>
    </w:p>
    <w:p w:rsidR="00B83CF1" w:rsidRPr="00B83CF1" w:rsidRDefault="00B83CF1" w:rsidP="00B83CF1">
      <w:pPr>
        <w:numPr>
          <w:ilvl w:val="0"/>
          <w:numId w:val="17"/>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As probabilidades das várias estimativas dentro do intervalo possam ser razoavelmente avaliadas e usadas para estimar o justo valor.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Custo de um activo intangível gerado internamente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custo de um activo intangível gerado internamente é igual à soma de todas as despesas incorridas desde a sua data de reconhecimento inicial, ou seja, desde a data em que pode ser considerado como um activo intangível.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Note-se que só podemos activar o elemento em causa quando se provar que é provável que fluam para a empresa benefícios económicos futuros a ele associados (de outro modo, seria considerado um gasto).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sistemas de custeio de uma entidade podem muitas vezes mensurar com fiabilidade o custo de gerar internamente um activo intangível, tais como ordenados e outros dispêndios incorridos para assegurar copyrights ou licenças ou para desenvolver software de computadores.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Não reconhecimento como activos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seguintes elementos intangíveis não devem ser reconhecidos como activos: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Elementos gerados internamente, tais como:</w:t>
      </w:r>
    </w:p>
    <w:p w:rsidR="00B83CF1" w:rsidRPr="00B83CF1" w:rsidRDefault="00B83CF1" w:rsidP="00B83CF1">
      <w:pPr>
        <w:numPr>
          <w:ilvl w:val="0"/>
          <w:numId w:val="18"/>
        </w:numPr>
        <w:spacing w:before="100" w:beforeAutospacing="1" w:after="100" w:afterAutospacing="1" w:line="240" w:lineRule="auto"/>
        <w:ind w:left="489"/>
        <w:rPr>
          <w:rFonts w:ascii="Arial" w:eastAsia="Times New Roman" w:hAnsi="Arial" w:cs="Arial"/>
          <w:sz w:val="24"/>
          <w:szCs w:val="24"/>
          <w:lang w:eastAsia="pt-PT"/>
        </w:rPr>
      </w:pPr>
      <w:proofErr w:type="spellStart"/>
      <w:r w:rsidRPr="00B83CF1">
        <w:rPr>
          <w:rFonts w:ascii="Arial" w:eastAsia="Times New Roman" w:hAnsi="Arial" w:cs="Arial"/>
          <w:sz w:val="24"/>
          <w:szCs w:val="24"/>
          <w:lang w:eastAsia="pt-PT"/>
        </w:rPr>
        <w:t>Goodwill</w:t>
      </w:r>
      <w:proofErr w:type="spellEnd"/>
      <w:r w:rsidRPr="00B83CF1">
        <w:rPr>
          <w:rFonts w:ascii="Arial" w:eastAsia="Times New Roman" w:hAnsi="Arial" w:cs="Arial"/>
          <w:sz w:val="24"/>
          <w:szCs w:val="24"/>
          <w:lang w:eastAsia="pt-PT"/>
        </w:rPr>
        <w:t xml:space="preserve">; </w:t>
      </w:r>
    </w:p>
    <w:p w:rsidR="00B83CF1" w:rsidRPr="00B83CF1" w:rsidRDefault="00B83CF1" w:rsidP="00B83CF1">
      <w:pPr>
        <w:numPr>
          <w:ilvl w:val="0"/>
          <w:numId w:val="18"/>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Marcas; </w:t>
      </w:r>
    </w:p>
    <w:p w:rsidR="00B83CF1" w:rsidRPr="00B83CF1" w:rsidRDefault="00B83CF1" w:rsidP="00B83CF1">
      <w:pPr>
        <w:numPr>
          <w:ilvl w:val="0"/>
          <w:numId w:val="18"/>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Direitos de publicação; </w:t>
      </w:r>
    </w:p>
    <w:p w:rsidR="00B83CF1" w:rsidRPr="00B83CF1" w:rsidRDefault="00B83CF1" w:rsidP="00B83CF1">
      <w:pPr>
        <w:numPr>
          <w:ilvl w:val="0"/>
          <w:numId w:val="18"/>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Listas de clientes "</w:t>
      </w:r>
      <w:proofErr w:type="gramStart"/>
      <w:r w:rsidRPr="00B83CF1">
        <w:rPr>
          <w:rFonts w:ascii="Arial" w:eastAsia="Times New Roman" w:hAnsi="Arial" w:cs="Arial"/>
          <w:sz w:val="24"/>
          <w:szCs w:val="24"/>
          <w:lang w:eastAsia="pt-PT"/>
        </w:rPr>
        <w:t>fieis</w:t>
      </w:r>
      <w:proofErr w:type="gramEnd"/>
      <w:r w:rsidRPr="00B83CF1">
        <w:rPr>
          <w:rFonts w:ascii="Arial" w:eastAsia="Times New Roman" w:hAnsi="Arial" w:cs="Arial"/>
          <w:sz w:val="24"/>
          <w:szCs w:val="24"/>
          <w:lang w:eastAsia="pt-PT"/>
        </w:rPr>
        <w:t xml:space="preserve">"; </w:t>
      </w:r>
    </w:p>
    <w:p w:rsidR="00B83CF1" w:rsidRPr="00B83CF1" w:rsidRDefault="00B83CF1" w:rsidP="00B83CF1">
      <w:pPr>
        <w:numPr>
          <w:ilvl w:val="0"/>
          <w:numId w:val="18"/>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Quotas de mercado; </w:t>
      </w:r>
    </w:p>
    <w:p w:rsidR="00B83CF1" w:rsidRPr="00B83CF1" w:rsidRDefault="00B83CF1" w:rsidP="00B83CF1">
      <w:pPr>
        <w:numPr>
          <w:ilvl w:val="0"/>
          <w:numId w:val="18"/>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Talentos de gestão.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B. Despesas, que devem ser reconhecidas como custos quando incorridas, tais como:</w:t>
      </w:r>
    </w:p>
    <w:p w:rsidR="00B83CF1" w:rsidRPr="00B83CF1" w:rsidRDefault="00B83CF1" w:rsidP="00B83CF1">
      <w:pPr>
        <w:numPr>
          <w:ilvl w:val="0"/>
          <w:numId w:val="19"/>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Despesas de instalação de um negócio; </w:t>
      </w:r>
    </w:p>
    <w:p w:rsidR="00B83CF1" w:rsidRPr="00B83CF1" w:rsidRDefault="00B83CF1" w:rsidP="00B83CF1">
      <w:pPr>
        <w:numPr>
          <w:ilvl w:val="0"/>
          <w:numId w:val="19"/>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Despesas de investigação; </w:t>
      </w:r>
    </w:p>
    <w:p w:rsidR="00B83CF1" w:rsidRPr="00B83CF1" w:rsidRDefault="00B83CF1" w:rsidP="00B83CF1">
      <w:pPr>
        <w:numPr>
          <w:ilvl w:val="0"/>
          <w:numId w:val="19"/>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Despesas em formação; </w:t>
      </w:r>
    </w:p>
    <w:p w:rsidR="00B83CF1" w:rsidRPr="00B83CF1" w:rsidRDefault="00B83CF1" w:rsidP="00B83CF1">
      <w:pPr>
        <w:numPr>
          <w:ilvl w:val="0"/>
          <w:numId w:val="19"/>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Despesas em publicidade e promoção; </w:t>
      </w:r>
    </w:p>
    <w:p w:rsidR="00B83CF1" w:rsidRPr="00B83CF1" w:rsidRDefault="00B83CF1" w:rsidP="00B83CF1">
      <w:pPr>
        <w:numPr>
          <w:ilvl w:val="0"/>
          <w:numId w:val="19"/>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Despesas de reorganização (total ou parcial) de uma empresa.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w:t>
      </w:r>
      <w:proofErr w:type="spellStart"/>
      <w:r w:rsidRPr="00B83CF1">
        <w:rPr>
          <w:rFonts w:ascii="Arial" w:eastAsia="Times New Roman" w:hAnsi="Arial" w:cs="Arial"/>
          <w:sz w:val="24"/>
          <w:szCs w:val="24"/>
          <w:lang w:eastAsia="pt-PT"/>
        </w:rPr>
        <w:t>International</w:t>
      </w:r>
      <w:proofErr w:type="spellEnd"/>
      <w:r w:rsidRPr="00B83CF1">
        <w:rPr>
          <w:rFonts w:ascii="Arial" w:eastAsia="Times New Roman" w:hAnsi="Arial" w:cs="Arial"/>
          <w:sz w:val="24"/>
          <w:szCs w:val="24"/>
          <w:lang w:eastAsia="pt-PT"/>
        </w:rPr>
        <w:t xml:space="preserve"> </w:t>
      </w:r>
      <w:proofErr w:type="spellStart"/>
      <w:r w:rsidRPr="00B83CF1">
        <w:rPr>
          <w:rFonts w:ascii="Arial" w:eastAsia="Times New Roman" w:hAnsi="Arial" w:cs="Arial"/>
          <w:sz w:val="24"/>
          <w:szCs w:val="24"/>
          <w:lang w:eastAsia="pt-PT"/>
        </w:rPr>
        <w:t>Accounting</w:t>
      </w:r>
      <w:proofErr w:type="spellEnd"/>
      <w:r w:rsidRPr="00B83CF1">
        <w:rPr>
          <w:rFonts w:ascii="Arial" w:eastAsia="Times New Roman" w:hAnsi="Arial" w:cs="Arial"/>
          <w:sz w:val="24"/>
          <w:szCs w:val="24"/>
          <w:lang w:eastAsia="pt-PT"/>
        </w:rPr>
        <w:t xml:space="preserve"> Standards </w:t>
      </w:r>
      <w:proofErr w:type="spellStart"/>
      <w:r w:rsidRPr="00B83CF1">
        <w:rPr>
          <w:rFonts w:ascii="Arial" w:eastAsia="Times New Roman" w:hAnsi="Arial" w:cs="Arial"/>
          <w:sz w:val="24"/>
          <w:szCs w:val="24"/>
          <w:lang w:eastAsia="pt-PT"/>
        </w:rPr>
        <w:t>Board</w:t>
      </w:r>
      <w:proofErr w:type="spellEnd"/>
      <w:r w:rsidRPr="00B83CF1">
        <w:rPr>
          <w:rFonts w:ascii="Arial" w:eastAsia="Times New Roman" w:hAnsi="Arial" w:cs="Arial"/>
          <w:sz w:val="24"/>
          <w:szCs w:val="24"/>
          <w:lang w:eastAsia="pt-PT"/>
        </w:rPr>
        <w:t xml:space="preserve"> (IASB) considera que as despesas relacionadas com o grupo A não podem ser distinguidas do custo de desenvolvimento do negócio como um todo.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dispêndio com um item intangível que tenha sido inicialmente reconhecido como um gasto não deve ser reconhecido como parte de um activo intangível em data posterior, isto é, uma vez reconhecido como custo, não vai mais ao activo.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Avaliação de activos intangíveis após o reconhecimento inicial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Após o reconhecimento inicial, existem dois métodos alternativos de avaliação de activos intangíveis:</w:t>
      </w:r>
    </w:p>
    <w:p w:rsidR="00B83CF1" w:rsidRPr="00B83CF1" w:rsidRDefault="00B83CF1" w:rsidP="00B83CF1">
      <w:pPr>
        <w:numPr>
          <w:ilvl w:val="0"/>
          <w:numId w:val="20"/>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Custo menos amortizações acumuladas e qualquer perda por desvalorização (critério geral); </w:t>
      </w:r>
    </w:p>
    <w:p w:rsidR="00B83CF1" w:rsidRPr="00B83CF1" w:rsidRDefault="00B83CF1" w:rsidP="00B83CF1">
      <w:pPr>
        <w:numPr>
          <w:ilvl w:val="0"/>
          <w:numId w:val="20"/>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Montante reavaliado ao justo valor menos amortizações acumuladas subsequentes e quaisquer perdas (por desvalorização) acumuladas (critério alternativo) - este critério só pode ser utilizado se, e apenas se, o justo valor puder ser determinado por referência a um mercado activo para o activo intangível.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frequência das reavaliações depende da volatilidade do justo valor do activo intangível.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Para manter a homogeneidade das contas, se um activo intangível for contabilizado usando o modelo de revalorização, todos os outros activos da mesma classe devem ser contabilizados usando o mesmo modelo, à semelhança, por exemplo, dos jogadores de futebol numa Sociedade Anónima Desportiva (SAD).</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Além disso, os itens de uma classe de activos intangíveis são simultaneamente revalorizados para evitar revalorizações selectivas de activos e relatos de quantias nas demonstrações financeiras que representam uma mistura de custos e de valores em datas diferentes.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revalorizações devem ser feitas com tal regularidade que na data do balanço a quantia escriturada do activo não difira materialmente do seu justo valor.</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Algumas regras acerca da amortização de activos imobilizados intangíveis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Podem existir factores legais e económicos a influenciar a vida útil de um activo intangível.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factores económicos determinam o período durante o qual os benefícios económicos futuros serão recebidos pela entidade.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Já os factores legais podem restringir o período durante o qual a entidade controla o acesso a esses benefícios.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vida útil é o mais curto dos períodos determinados por estes factores.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amortização deverá iniciar-se logo que o activo esteja em uso e deverá realizar-se de forma sistemática e o método de amortização deverá reflectir o desgaste observado (se não for possível determinar o desgaste com fiabilidade, deverá utilizar-se o método das quotas constantes).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 valor residual deverá ser nulo, excepto quando houver um compromisso com alguém para comprar o activo no fim da vida útil ou quando houver um mercado activo para aquele activo e for provável que tal mercado existirá no fim da vida útil.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Alterações no valor residual, no período de amortização ou nos métodos de amortização devem ser contabilizadas como alterações de estimativas contabilísticas e, portanto, corrigidas prospectivamente.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 activo intangível com vida útil indefinida não deve ser amortizado e, neste caso, devem ser feitos testes de imparidade.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Um activo intangível deve ser </w:t>
      </w:r>
      <w:proofErr w:type="spellStart"/>
      <w:r w:rsidRPr="00B83CF1">
        <w:rPr>
          <w:rFonts w:ascii="Arial" w:eastAsia="Times New Roman" w:hAnsi="Arial" w:cs="Arial"/>
          <w:sz w:val="24"/>
          <w:szCs w:val="24"/>
          <w:lang w:eastAsia="pt-PT"/>
        </w:rPr>
        <w:t>desreconhecido</w:t>
      </w:r>
      <w:proofErr w:type="spellEnd"/>
      <w:r w:rsidRPr="00B83CF1">
        <w:rPr>
          <w:rFonts w:ascii="Arial" w:eastAsia="Times New Roman" w:hAnsi="Arial" w:cs="Arial"/>
          <w:sz w:val="24"/>
          <w:szCs w:val="24"/>
          <w:lang w:eastAsia="pt-PT"/>
        </w:rPr>
        <w:t xml:space="preserve"> (ou seja, retirado do balanço) no momento da alienação ou quando não se esperem benefícios económicos futuros do seu uso ou alienação, devendo o ganho/perda decorrente do </w:t>
      </w:r>
      <w:proofErr w:type="spellStart"/>
      <w:r w:rsidRPr="00B83CF1">
        <w:rPr>
          <w:rFonts w:ascii="Arial" w:eastAsia="Times New Roman" w:hAnsi="Arial" w:cs="Arial"/>
          <w:sz w:val="24"/>
          <w:szCs w:val="24"/>
          <w:lang w:eastAsia="pt-PT"/>
        </w:rPr>
        <w:t>desreconhecimento</w:t>
      </w:r>
      <w:proofErr w:type="spellEnd"/>
      <w:r w:rsidRPr="00B83CF1">
        <w:rPr>
          <w:rFonts w:ascii="Arial" w:eastAsia="Times New Roman" w:hAnsi="Arial" w:cs="Arial"/>
          <w:sz w:val="24"/>
          <w:szCs w:val="24"/>
          <w:lang w:eastAsia="pt-PT"/>
        </w:rPr>
        <w:t xml:space="preserve"> ser registado em resultados.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retribuição a receber pela alienação de um activo intangível é reconhecida inicialmente pelo justo valor e a diferença entre a quantia nominal da retribuição e o equivalente ao preço do dinheiro é reconhecida como rédito de juros.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amortização de um activo intangível não cessa por não estar a ser usado.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Divulgações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classes de intangíveis são agregadas ou desagregadas, consoante o que proporcionar informação mais relevante para os utentes das demonstrações financeiras.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 caso de vida útil indefinida, deverão ser dadas explicações para tal avaliação.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entidades deverão efectuar as divulgações constantes da NCRF 6 para activos intangíveis:</w:t>
      </w:r>
    </w:p>
    <w:p w:rsidR="00B83CF1" w:rsidRPr="00B83CF1" w:rsidRDefault="00B83CF1" w:rsidP="00B83CF1">
      <w:pPr>
        <w:numPr>
          <w:ilvl w:val="0"/>
          <w:numId w:val="21"/>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Gerados internamente (distinguindo-os dos outros); </w:t>
      </w:r>
    </w:p>
    <w:p w:rsidR="00B83CF1" w:rsidRPr="00B83CF1" w:rsidRDefault="00B83CF1" w:rsidP="00B83CF1">
      <w:pPr>
        <w:numPr>
          <w:ilvl w:val="0"/>
          <w:numId w:val="21"/>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Adquiridos por meio de um subsídio governamental e inicialmente reconhecidos pelo justo valor; e </w:t>
      </w:r>
    </w:p>
    <w:p w:rsidR="00B83CF1" w:rsidRPr="00B83CF1" w:rsidRDefault="00B83CF1" w:rsidP="00B83CF1">
      <w:pPr>
        <w:numPr>
          <w:ilvl w:val="0"/>
          <w:numId w:val="21"/>
        </w:numPr>
        <w:spacing w:before="100" w:beforeAutospacing="1" w:after="100" w:afterAutospacing="1" w:line="240" w:lineRule="auto"/>
        <w:ind w:left="950"/>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Contabilizados por quantias revalorizadas.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Por fim, uma entidade deve reportar a quantia agregada dos dispêndios de pesquisa e desenvolvimento reconhecidos como um gasto durante o período, a qual deverá incluir todos os gastos por natureza que sejam classificáveis como de pesquisa e desenvolvimento (gastos com o pessoal afecto, bens e serviços usados, amortizações, entre outros).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Nota final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valorização dos intangíveis é uma área que se tem vindo a desenvolver fortemente ao longo dos tempos e a captar cada vez mais a atenção das organizações empresariais.</w:t>
      </w:r>
    </w:p>
    <w:p w:rsid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NCRF 6 identifica com clareza os activos intangíveis e o seu tratamento, o que se revela de extrema utilidade, dado que esta é uma matéria de grandes diferenças face ao anterior normativo português e os intangíveis têm-se vindo a assumir como factores decisivos de criação de valor.</w:t>
      </w:r>
    </w:p>
    <w:p w:rsidR="00F25306" w:rsidRPr="00B83CF1" w:rsidRDefault="00F25306" w:rsidP="00B83CF1">
      <w:pPr>
        <w:spacing w:before="58" w:line="240" w:lineRule="auto"/>
        <w:jc w:val="both"/>
        <w:rPr>
          <w:rFonts w:ascii="Arial" w:eastAsia="Times New Roman" w:hAnsi="Arial" w:cs="Arial"/>
          <w:sz w:val="24"/>
          <w:szCs w:val="24"/>
          <w:lang w:eastAsia="pt-PT"/>
        </w:rPr>
      </w:pPr>
    </w:p>
    <w:p w:rsidR="00B83CF1" w:rsidRDefault="00B83CF1">
      <w:pPr>
        <w:rPr>
          <w:rFonts w:ascii="Georgia" w:hAnsi="Georgia" w:cs="Arial"/>
          <w:color w:val="FF0000"/>
          <w:spacing w:val="-12"/>
          <w:sz w:val="42"/>
          <w:szCs w:val="42"/>
        </w:rPr>
      </w:pPr>
      <w:r w:rsidRPr="00B83CF1">
        <w:rPr>
          <w:rFonts w:ascii="Georgia" w:hAnsi="Georgia" w:cs="Arial"/>
          <w:color w:val="FF0000"/>
          <w:spacing w:val="-12"/>
          <w:sz w:val="42"/>
          <w:szCs w:val="42"/>
        </w:rPr>
        <w:t>NCRF 7 – Activos Fixos Tangíveis – Síntese, exemplos e comentários</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 xml:space="preserve">A NCRF 7 apoia-se na IAS 16 e define-se pelo objectivo de determinar o procedimento a adoptar no registo de activos tangíveis. A análise destes activos, de uma determinada sociedade, permite identificar a forma de investimento utilizada, </w:t>
      </w:r>
      <w:r w:rsidRPr="00B83CF1">
        <w:rPr>
          <w:rFonts w:ascii="Arial" w:eastAsia="Times New Roman" w:hAnsi="Arial" w:cs="Arial"/>
          <w:b/>
          <w:bCs/>
          <w:color w:val="444444"/>
          <w:sz w:val="21"/>
          <w:szCs w:val="21"/>
          <w:lang w:eastAsia="pt-PT"/>
        </w:rPr>
        <w:lastRenderedPageBreak/>
        <w:t>bem como as alterações a este investimento e porventura as necessidades futuras de novos activos.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Definição de activo tangível: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Constituem elementos tangíveis:</w:t>
      </w:r>
    </w:p>
    <w:p w:rsidR="00B83CF1" w:rsidRPr="00B83CF1" w:rsidRDefault="00B83CF1" w:rsidP="00B83CF1">
      <w:pPr>
        <w:numPr>
          <w:ilvl w:val="0"/>
          <w:numId w:val="22"/>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Os elementos detidos para utilização na produção ou fornecimento de produtos ou serviços; </w:t>
      </w:r>
    </w:p>
    <w:p w:rsidR="00B83CF1" w:rsidRPr="00B83CF1" w:rsidRDefault="00B83CF1" w:rsidP="00B83CF1">
      <w:pPr>
        <w:numPr>
          <w:ilvl w:val="0"/>
          <w:numId w:val="22"/>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Os bens detidos para arrendar a terceiros; </w:t>
      </w:r>
    </w:p>
    <w:p w:rsidR="00B83CF1" w:rsidRPr="00B83CF1" w:rsidRDefault="00B83CF1" w:rsidP="00B83CF1">
      <w:pPr>
        <w:numPr>
          <w:ilvl w:val="0"/>
          <w:numId w:val="22"/>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Os elementos utilizados para fins administrativos;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Que se espera uma utilização durante mais do que um período contabilístico.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Exemplos activos tangíveis:</w:t>
      </w:r>
    </w:p>
    <w:p w:rsidR="00B83CF1" w:rsidRPr="00B83CF1" w:rsidRDefault="00B83CF1" w:rsidP="00B83CF1">
      <w:pPr>
        <w:numPr>
          <w:ilvl w:val="0"/>
          <w:numId w:val="23"/>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Impressoras; computadores; </w:t>
      </w:r>
    </w:p>
    <w:p w:rsidR="00B83CF1" w:rsidRPr="00B83CF1" w:rsidRDefault="00B83CF1" w:rsidP="00B83CF1">
      <w:pPr>
        <w:numPr>
          <w:ilvl w:val="0"/>
          <w:numId w:val="23"/>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Terrenos e edifícios; </w:t>
      </w:r>
    </w:p>
    <w:p w:rsidR="00B83CF1" w:rsidRPr="00B83CF1" w:rsidRDefault="00B83CF1" w:rsidP="00B83CF1">
      <w:pPr>
        <w:numPr>
          <w:ilvl w:val="0"/>
          <w:numId w:val="23"/>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Equipamentos produtivos; </w:t>
      </w:r>
    </w:p>
    <w:p w:rsidR="00B83CF1" w:rsidRPr="00B83CF1" w:rsidRDefault="00B83CF1" w:rsidP="00B83CF1">
      <w:pPr>
        <w:numPr>
          <w:ilvl w:val="0"/>
          <w:numId w:val="23"/>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Viaturas;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Nota: todos estes elementos activos são usados pelas entidades, como recursos, para o desenvolvimento dos seus negócios.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Quando deve ser reconhecido um activo tangível:</w:t>
      </w:r>
    </w:p>
    <w:p w:rsidR="00B83CF1" w:rsidRPr="00B83CF1" w:rsidRDefault="00B83CF1" w:rsidP="00B83CF1">
      <w:pPr>
        <w:numPr>
          <w:ilvl w:val="0"/>
          <w:numId w:val="24"/>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Quando for provável que o mesmo, ainda que de forma futura, permita benefícios económicos; </w:t>
      </w:r>
    </w:p>
    <w:p w:rsidR="00B83CF1" w:rsidRPr="00B83CF1" w:rsidRDefault="00B83CF1" w:rsidP="00B83CF1">
      <w:pPr>
        <w:numPr>
          <w:ilvl w:val="0"/>
          <w:numId w:val="24"/>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Se for possível identificar rigorosamente o seu custo.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Definição de custo para reconhecimento inicial do activo: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Contrariamente ao que era descrito no POC, a IAS 16 é mais pormenorizada e salienta que, para além do respectivo preço de compra, é necessário incluir a estimativa das despesas adicionais, as eventuais despesas de desmontagem e remoção; a preparação de infra-estruturas; </w:t>
      </w:r>
      <w:proofErr w:type="gramStart"/>
      <w:r w:rsidRPr="00B83CF1">
        <w:rPr>
          <w:rFonts w:ascii="Arial" w:eastAsia="Times New Roman" w:hAnsi="Arial" w:cs="Arial"/>
          <w:sz w:val="24"/>
          <w:szCs w:val="24"/>
          <w:lang w:eastAsia="pt-PT"/>
        </w:rPr>
        <w:t>os honorários a profissionais, e as despesas suportadas para testar se o activo está</w:t>
      </w:r>
      <w:proofErr w:type="gramEnd"/>
      <w:r w:rsidRPr="00B83CF1">
        <w:rPr>
          <w:rFonts w:ascii="Arial" w:eastAsia="Times New Roman" w:hAnsi="Arial" w:cs="Arial"/>
          <w:sz w:val="24"/>
          <w:szCs w:val="24"/>
          <w:lang w:eastAsia="pt-PT"/>
        </w:rPr>
        <w:t xml:space="preserve"> a funcionar correctamente.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Nota: Inicialmente o activo será sempre registado pelo seu custo.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Despesas adicionais de compra a </w:t>
      </w:r>
      <w:r w:rsidRPr="00B83CF1">
        <w:rPr>
          <w:rFonts w:ascii="Arial" w:eastAsia="Times New Roman" w:hAnsi="Arial" w:cs="Arial"/>
          <w:b/>
          <w:bCs/>
          <w:sz w:val="24"/>
          <w:szCs w:val="24"/>
          <w:lang w:eastAsia="pt-PT"/>
        </w:rPr>
        <w:t xml:space="preserve">excluir </w:t>
      </w:r>
      <w:r w:rsidRPr="00B83CF1">
        <w:rPr>
          <w:rFonts w:ascii="Arial" w:eastAsia="Times New Roman" w:hAnsi="Arial" w:cs="Arial"/>
          <w:sz w:val="24"/>
          <w:szCs w:val="24"/>
          <w:lang w:eastAsia="pt-PT"/>
        </w:rPr>
        <w:t>do custo de activos fixos tangíveis:</w:t>
      </w:r>
    </w:p>
    <w:p w:rsidR="00B83CF1" w:rsidRPr="00B83CF1" w:rsidRDefault="00B83CF1" w:rsidP="00B83CF1">
      <w:pPr>
        <w:numPr>
          <w:ilvl w:val="0"/>
          <w:numId w:val="25"/>
        </w:numPr>
        <w:spacing w:before="100" w:beforeAutospacing="1" w:after="100" w:afterAutospacing="1" w:line="240" w:lineRule="auto"/>
        <w:ind w:left="489"/>
        <w:jc w:val="both"/>
        <w:rPr>
          <w:rFonts w:ascii="Arial" w:eastAsia="Times New Roman" w:hAnsi="Arial" w:cs="Arial"/>
          <w:sz w:val="24"/>
          <w:szCs w:val="24"/>
          <w:lang w:eastAsia="pt-PT"/>
        </w:rPr>
      </w:pPr>
      <w:proofErr w:type="gramStart"/>
      <w:r w:rsidRPr="00B83CF1">
        <w:rPr>
          <w:rFonts w:ascii="Arial" w:eastAsia="Times New Roman" w:hAnsi="Arial" w:cs="Arial"/>
          <w:sz w:val="24"/>
          <w:szCs w:val="24"/>
          <w:lang w:eastAsia="pt-PT"/>
        </w:rPr>
        <w:t>Despesas suportadas enquanto o bem não está</w:t>
      </w:r>
      <w:proofErr w:type="gramEnd"/>
      <w:r w:rsidRPr="00B83CF1">
        <w:rPr>
          <w:rFonts w:ascii="Arial" w:eastAsia="Times New Roman" w:hAnsi="Arial" w:cs="Arial"/>
          <w:sz w:val="24"/>
          <w:szCs w:val="24"/>
          <w:lang w:eastAsia="pt-PT"/>
        </w:rPr>
        <w:t xml:space="preserve"> a funcionar de acordo com o que a gestão pretende ou enquanto está a operar abaixo da sua capacidade. </w:t>
      </w:r>
    </w:p>
    <w:p w:rsidR="00B83CF1" w:rsidRPr="00B83CF1" w:rsidRDefault="00B83CF1" w:rsidP="00B83CF1">
      <w:pPr>
        <w:numPr>
          <w:ilvl w:val="0"/>
          <w:numId w:val="25"/>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Despesas relacionadas com a abertura de novas fábricas; ou introdução de novos produtos /serviços no mercado. </w:t>
      </w:r>
    </w:p>
    <w:p w:rsidR="00B83CF1" w:rsidRPr="00B83CF1" w:rsidRDefault="00B83CF1" w:rsidP="00B83CF1">
      <w:pPr>
        <w:numPr>
          <w:ilvl w:val="0"/>
          <w:numId w:val="25"/>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Despesas de administração e outros gastos gerais.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Mensuração subsequente, ou seja, após o registo inicial: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entidade deverá escolher como política contabilística o modelo do custo, o modelo de revalorização ou o modelo do justo valor.</w:t>
      </w:r>
    </w:p>
    <w:p w:rsidR="00B83CF1" w:rsidRPr="00B83CF1" w:rsidRDefault="00B83CF1" w:rsidP="00B83CF1">
      <w:pPr>
        <w:numPr>
          <w:ilvl w:val="0"/>
          <w:numId w:val="26"/>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Modelo do custo – Custo inicial deduzido das depreciações acumuladas e deduzido das perdas de imparidade. </w:t>
      </w:r>
    </w:p>
    <w:p w:rsidR="00B83CF1" w:rsidRPr="00B83CF1" w:rsidRDefault="00B83CF1" w:rsidP="00B83CF1">
      <w:pPr>
        <w:numPr>
          <w:ilvl w:val="0"/>
          <w:numId w:val="26"/>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Modelo de revalorização – posteriormente ao primeiro registo do activo (custo), se for possível determinar com exactidão o justo valor do activo, o mesmo deverá ser escriturado por uma quantia revalorizada (a quantia revalorizada representa o justo valor do elemento à data, deduzido de depreciações acumuladas e/ou perdas por imparidade).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Exemplifiquemos: Inicialmente o activo é registado pelo preço de custo e futuramente é actualizado:</w:t>
      </w:r>
    </w:p>
    <w:p w:rsidR="00B83CF1" w:rsidRPr="00B83CF1" w:rsidRDefault="00B83CF1" w:rsidP="00B83CF1">
      <w:pPr>
        <w:numPr>
          <w:ilvl w:val="0"/>
          <w:numId w:val="27"/>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Pelo valor de mercado, ou </w:t>
      </w:r>
    </w:p>
    <w:p w:rsidR="00B83CF1" w:rsidRPr="00B83CF1" w:rsidRDefault="00B83CF1" w:rsidP="00B83CF1">
      <w:pPr>
        <w:numPr>
          <w:ilvl w:val="0"/>
          <w:numId w:val="27"/>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Pelo valor de uso.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 caso do justo valor, o objectivo resume-se a estimar as alterações de preço para o activo ou passivo por referência a uma simulação de uma transacção, entre potencial comprador e vendedor.</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Determinação do justo valor</w:t>
      </w:r>
    </w:p>
    <w:p w:rsidR="00B83CF1" w:rsidRPr="00B83CF1" w:rsidRDefault="00B83CF1" w:rsidP="00B83CF1">
      <w:pPr>
        <w:numPr>
          <w:ilvl w:val="0"/>
          <w:numId w:val="28"/>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Terrenos / edifícios e itens de instalações – O justo valor destes elementos activos será obtido com base no mercado das avaliações realizadas por peritos devidamente qualificados. </w:t>
      </w:r>
    </w:p>
    <w:p w:rsidR="00B83CF1" w:rsidRPr="00B83CF1" w:rsidRDefault="00B83CF1" w:rsidP="00B83CF1">
      <w:pPr>
        <w:numPr>
          <w:ilvl w:val="0"/>
          <w:numId w:val="28"/>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Equipamentos – Valor de mercado determinado por avaliação.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Nota: No modelo do justo valor os activos não deverão ser depreciados, mas apenas sujeitos a eventuais perdas por imparidade.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Excepção: Perante a impossibilidade de verificar os valores de mercado, eventualmente pela natureza do bem ou porque o mesmo dificilmente é vendido, não poderá a entidade utilizar o modelo de revalorização.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Exemplifiquemos: Inicialmente o activo é registado pelo preço de custo e posteriormente é actualizado pelo valor de mercado.</w:t>
      </w:r>
    </w:p>
    <w:p w:rsidR="00B83CF1" w:rsidRPr="00B83CF1" w:rsidRDefault="00B83CF1" w:rsidP="00B83CF1">
      <w:pPr>
        <w:spacing w:before="58" w:after="115" w:line="240" w:lineRule="auto"/>
        <w:jc w:val="both"/>
        <w:rPr>
          <w:rFonts w:ascii="Arial" w:eastAsia="Times New Roman" w:hAnsi="Arial" w:cs="Arial"/>
          <w:sz w:val="24"/>
          <w:szCs w:val="24"/>
          <w:lang w:eastAsia="pt-PT"/>
        </w:rPr>
      </w:pPr>
      <w:proofErr w:type="spellStart"/>
      <w:r w:rsidRPr="00B83CF1">
        <w:rPr>
          <w:rFonts w:ascii="Arial" w:eastAsia="Times New Roman" w:hAnsi="Arial" w:cs="Arial"/>
          <w:b/>
          <w:bCs/>
          <w:sz w:val="24"/>
          <w:szCs w:val="24"/>
          <w:lang w:eastAsia="pt-PT"/>
        </w:rPr>
        <w:t>Desreconhecimento</w:t>
      </w:r>
      <w:proofErr w:type="spellEnd"/>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quantias escrituradas dos elementos activos fixos tangíveis devem ser "anuladas" quando:</w:t>
      </w:r>
    </w:p>
    <w:p w:rsidR="00B83CF1" w:rsidRPr="00B83CF1" w:rsidRDefault="00B83CF1" w:rsidP="00B83CF1">
      <w:pPr>
        <w:numPr>
          <w:ilvl w:val="0"/>
          <w:numId w:val="29"/>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Os bens são vendidos, ou </w:t>
      </w:r>
    </w:p>
    <w:p w:rsidR="00B83CF1" w:rsidRPr="00B83CF1" w:rsidRDefault="00B83CF1" w:rsidP="00B83CF1">
      <w:pPr>
        <w:numPr>
          <w:ilvl w:val="0"/>
          <w:numId w:val="29"/>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Quando não se espera benefícios económicos futuros, pelo seu uso ou venda.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Divulgações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As entidades devem, essencialmente, fazer prevalecer nas suas demonstrações financeiras:</w:t>
      </w:r>
    </w:p>
    <w:p w:rsidR="00B83CF1" w:rsidRPr="00B83CF1" w:rsidRDefault="00B83CF1" w:rsidP="00B83CF1">
      <w:pPr>
        <w:numPr>
          <w:ilvl w:val="0"/>
          <w:numId w:val="30"/>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Os métodos de depreciação utilizados, as respectivas taxas ou vidas úteis estimadas; </w:t>
      </w:r>
    </w:p>
    <w:p w:rsidR="00B83CF1" w:rsidRPr="00B83CF1" w:rsidRDefault="00B83CF1" w:rsidP="00B83CF1">
      <w:pPr>
        <w:numPr>
          <w:ilvl w:val="0"/>
          <w:numId w:val="30"/>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quantia bruta dos bens e a inerente depreciação acumulada no início e fim do período; </w:t>
      </w:r>
    </w:p>
    <w:p w:rsidR="00B83CF1" w:rsidRPr="00B83CF1" w:rsidRDefault="00B83CF1" w:rsidP="00B83CF1">
      <w:pPr>
        <w:numPr>
          <w:ilvl w:val="0"/>
          <w:numId w:val="30"/>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Um resumo devidamente perceptível que mostre as alterações ocorridas (as adições, as revalorizações e as alienações) entre o início e o fim do período.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Alguns exemplos de classificação de activos tangíveis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Exemplo 1</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Aquisição, a prazo, de um portátil a um fornecedor por 1.500 euros (sujeito a IVA à taxa de 23%)</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Débito da conta 43 – Activo fixo </w:t>
      </w:r>
      <w:proofErr w:type="gramStart"/>
      <w:r w:rsidRPr="00B83CF1">
        <w:rPr>
          <w:rFonts w:ascii="Arial" w:eastAsia="Times New Roman" w:hAnsi="Arial" w:cs="Arial"/>
          <w:sz w:val="24"/>
          <w:szCs w:val="24"/>
          <w:lang w:eastAsia="pt-PT"/>
        </w:rPr>
        <w:t>tangível 1.500 euros</w:t>
      </w:r>
      <w:proofErr w:type="gramEnd"/>
      <w:r w:rsidRPr="00B83CF1">
        <w:rPr>
          <w:rFonts w:ascii="Arial" w:eastAsia="Times New Roman" w:hAnsi="Arial" w:cs="Arial"/>
          <w:sz w:val="24"/>
          <w:szCs w:val="24"/>
          <w:lang w:eastAsia="pt-PT"/>
        </w:rPr>
        <w:t>;</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Débito da conta 2432 – IVA dedutível 345 euros;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Credito da conta 2711 – Fornecedores investimentos 1.845 euros.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Exemplo 2</w:t>
      </w:r>
      <w:r w:rsidRPr="00B83CF1">
        <w:rPr>
          <w:rFonts w:ascii="Arial" w:eastAsia="Times New Roman" w:hAnsi="Arial" w:cs="Arial"/>
          <w:sz w:val="24"/>
          <w:szCs w:val="24"/>
          <w:lang w:eastAsia="pt-PT"/>
        </w:rPr>
        <w:t>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Reparação da máquina produtiva por 10.000 euros (IVA à taxa 23%). Esta reparação permite o aumento da capacidade produtiva do equipamento, de 15.000 unidades por mês para 20.000 unidades mensais.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Débito da conta 43 – Activo fixo </w:t>
      </w:r>
      <w:proofErr w:type="gramStart"/>
      <w:r w:rsidRPr="00B83CF1">
        <w:rPr>
          <w:rFonts w:ascii="Arial" w:eastAsia="Times New Roman" w:hAnsi="Arial" w:cs="Arial"/>
          <w:sz w:val="24"/>
          <w:szCs w:val="24"/>
          <w:lang w:eastAsia="pt-PT"/>
        </w:rPr>
        <w:t>tangível 10.000 euros</w:t>
      </w:r>
      <w:proofErr w:type="gramEnd"/>
      <w:r w:rsidRPr="00B83CF1">
        <w:rPr>
          <w:rFonts w:ascii="Arial" w:eastAsia="Times New Roman" w:hAnsi="Arial" w:cs="Arial"/>
          <w:sz w:val="24"/>
          <w:szCs w:val="24"/>
          <w:lang w:eastAsia="pt-PT"/>
        </w:rPr>
        <w:t>;</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Débito da conta 2432 – IVA dedutível 2.300 euros;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Credito da conta 2711 – Fornecedores investimentos 12.300 euros</w:t>
      </w:r>
    </w:p>
    <w:p w:rsid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Observações: se a reparação efectuada no equipamento não permitir o aumento de desempenho, o custo da reparação não deve ser relevado como activo, mas sim como gasto do exercício.</w:t>
      </w:r>
    </w:p>
    <w:p w:rsidR="00F25306" w:rsidRPr="00B83CF1" w:rsidRDefault="00F25306" w:rsidP="00B83CF1">
      <w:pPr>
        <w:spacing w:before="58" w:line="240" w:lineRule="auto"/>
        <w:jc w:val="both"/>
        <w:rPr>
          <w:rFonts w:ascii="Arial" w:eastAsia="Times New Roman" w:hAnsi="Arial" w:cs="Arial"/>
          <w:sz w:val="24"/>
          <w:szCs w:val="24"/>
          <w:lang w:eastAsia="pt-PT"/>
        </w:rPr>
      </w:pPr>
    </w:p>
    <w:p w:rsidR="00B83CF1" w:rsidRPr="00F25306" w:rsidRDefault="00B83CF1" w:rsidP="00B83CF1">
      <w:pPr>
        <w:spacing w:before="115" w:line="264" w:lineRule="auto"/>
        <w:outlineLvl w:val="2"/>
        <w:rPr>
          <w:rFonts w:ascii="Georgia" w:eastAsia="Times New Roman" w:hAnsi="Georgia" w:cs="Arial"/>
          <w:color w:val="FF0000"/>
          <w:spacing w:val="-12"/>
          <w:sz w:val="32"/>
          <w:szCs w:val="42"/>
          <w:lang w:eastAsia="pt-PT"/>
        </w:rPr>
      </w:pPr>
      <w:bookmarkStart w:id="12" w:name="_Toc290996387"/>
      <w:r w:rsidRPr="00F25306">
        <w:rPr>
          <w:rFonts w:ascii="Georgia" w:eastAsia="Times New Roman" w:hAnsi="Georgia" w:cs="Arial"/>
          <w:color w:val="FF0000"/>
          <w:spacing w:val="-12"/>
          <w:sz w:val="32"/>
          <w:szCs w:val="42"/>
          <w:lang w:eastAsia="pt-PT"/>
        </w:rPr>
        <w:t>NCRF 8 – Activos não Correntes detidos para venda e unidades operacionais descontinuadas - Síntese, exemplos e comentários</w:t>
      </w:r>
      <w:bookmarkEnd w:id="12"/>
      <w:r w:rsidRPr="00F25306">
        <w:rPr>
          <w:rFonts w:ascii="Georgia" w:eastAsia="Times New Roman" w:hAnsi="Georgia" w:cs="Arial"/>
          <w:color w:val="FF0000"/>
          <w:spacing w:val="-12"/>
          <w:sz w:val="32"/>
          <w:szCs w:val="42"/>
          <w:lang w:eastAsia="pt-PT"/>
        </w:rPr>
        <w:t xml:space="preserve"> </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Esta NCRF tem como principal estrutura a IFRS 5 e exprime as bases de contabilização de activos detidos para venda, bem como a apresentação e caracterização das unidades operacionais descontinuadas (desinvestimentos empresariais).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Essencialmente a norma obriga a que os activos detidos para venda:</w:t>
      </w:r>
    </w:p>
    <w:p w:rsidR="00B83CF1" w:rsidRPr="00B83CF1" w:rsidRDefault="00B83CF1" w:rsidP="00B83CF1">
      <w:pPr>
        <w:numPr>
          <w:ilvl w:val="0"/>
          <w:numId w:val="31"/>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Sejam classificados pelo menor valor, entre: </w:t>
      </w:r>
    </w:p>
    <w:p w:rsidR="00B83CF1" w:rsidRPr="00B83CF1" w:rsidRDefault="00B83CF1" w:rsidP="00B83CF1">
      <w:pPr>
        <w:numPr>
          <w:ilvl w:val="1"/>
          <w:numId w:val="31"/>
        </w:numPr>
        <w:spacing w:before="100" w:beforeAutospacing="1" w:after="100" w:afterAutospacing="1" w:line="240" w:lineRule="auto"/>
        <w:ind w:left="863"/>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valor escriturado, e </w:t>
      </w:r>
    </w:p>
    <w:p w:rsidR="00B83CF1" w:rsidRPr="00B83CF1" w:rsidRDefault="00B83CF1" w:rsidP="00B83CF1">
      <w:pPr>
        <w:numPr>
          <w:ilvl w:val="1"/>
          <w:numId w:val="31"/>
        </w:numPr>
        <w:spacing w:before="100" w:beforeAutospacing="1" w:after="100" w:afterAutospacing="1" w:line="240" w:lineRule="auto"/>
        <w:ind w:left="863"/>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justo valor (deduzido de eventuais custos de venda). </w:t>
      </w:r>
    </w:p>
    <w:p w:rsidR="00B83CF1" w:rsidRPr="00B83CF1" w:rsidRDefault="00B83CF1" w:rsidP="00B83CF1">
      <w:pPr>
        <w:numPr>
          <w:ilvl w:val="0"/>
          <w:numId w:val="31"/>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Sejam âmbito de apresentação separada no balanço e, no caso das unidades descontinuadas, sejam apresentadas separadamente na demonstração de resultados.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Aplicabilidade</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norma aplica-se:</w:t>
      </w:r>
    </w:p>
    <w:p w:rsidR="00B83CF1" w:rsidRPr="00B83CF1" w:rsidRDefault="00B83CF1" w:rsidP="00B83CF1">
      <w:pPr>
        <w:numPr>
          <w:ilvl w:val="0"/>
          <w:numId w:val="32"/>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Activos não correntes; </w:t>
      </w:r>
    </w:p>
    <w:p w:rsidR="00B83CF1" w:rsidRPr="00B83CF1" w:rsidRDefault="00B83CF1" w:rsidP="00B83CF1">
      <w:pPr>
        <w:numPr>
          <w:ilvl w:val="0"/>
          <w:numId w:val="32"/>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Grupos de alienação de uma entidade (Por exemplo um grupo de unidades geradoras de caixa).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Classificações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Uma entidade deverá registar um activo não corrente ou um grupo para alienação como detido para venda, se a sua quantia escriturada for recuperada através de uma venda e não através do uso continuado. Ou seja, o elemento activo deve estar imediatamente disponível para venda e a mesma ser altamente exequível.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Depreciação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bens activos não correntes não deverão ser âmbito de depreciação enquanto o mesmo estiver classificado como detido para venda e/ou enquanto estiver integrado num grupo caracterizado como preservado para venda.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Divulgação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Pretende-se que a divulgação e apresentação, do âmbito da presente norma, permita aos utentes das demonstrações financeiras avaliar os efeitos financeiros das unidades descontinuadas e das alienações de activos não correntes.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Unidades operacionais descontinuadas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Representam uma componente de uma entidade </w:t>
      </w:r>
      <w:proofErr w:type="gramStart"/>
      <w:r w:rsidRPr="00B83CF1">
        <w:rPr>
          <w:rFonts w:ascii="Arial" w:eastAsia="Times New Roman" w:hAnsi="Arial" w:cs="Arial"/>
          <w:sz w:val="24"/>
          <w:szCs w:val="24"/>
          <w:lang w:eastAsia="pt-PT"/>
        </w:rPr>
        <w:t>que</w:t>
      </w:r>
      <w:proofErr w:type="gramEnd"/>
      <w:r w:rsidRPr="00B83CF1">
        <w:rPr>
          <w:rFonts w:ascii="Arial" w:eastAsia="Times New Roman" w:hAnsi="Arial" w:cs="Arial"/>
          <w:sz w:val="24"/>
          <w:szCs w:val="24"/>
          <w:lang w:eastAsia="pt-PT"/>
        </w:rPr>
        <w:t>:</w:t>
      </w:r>
    </w:p>
    <w:p w:rsidR="00B83CF1" w:rsidRPr="00B83CF1" w:rsidRDefault="00B83CF1" w:rsidP="00B83CF1">
      <w:pPr>
        <w:numPr>
          <w:ilvl w:val="0"/>
          <w:numId w:val="33"/>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Foi alienada, ou </w:t>
      </w:r>
    </w:p>
    <w:p w:rsidR="00B83CF1" w:rsidRPr="00B83CF1" w:rsidRDefault="00B83CF1" w:rsidP="00B83CF1">
      <w:pPr>
        <w:numPr>
          <w:ilvl w:val="0"/>
          <w:numId w:val="33"/>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Está classificada como detida para venda, e </w:t>
      </w:r>
    </w:p>
    <w:p w:rsidR="00B83CF1" w:rsidRPr="00B83CF1" w:rsidRDefault="00B83CF1" w:rsidP="00B83CF1">
      <w:pPr>
        <w:numPr>
          <w:ilvl w:val="1"/>
          <w:numId w:val="33"/>
        </w:numPr>
        <w:spacing w:before="100" w:beforeAutospacing="1" w:after="100" w:afterAutospacing="1" w:line="240" w:lineRule="auto"/>
        <w:ind w:left="863"/>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Caracteriza uma importante linha de negócio ou representa uma área geográfica separada de unidades operacionais, e </w:t>
      </w:r>
    </w:p>
    <w:p w:rsidR="00B83CF1" w:rsidRPr="00B83CF1" w:rsidRDefault="00B83CF1" w:rsidP="00B83CF1">
      <w:pPr>
        <w:numPr>
          <w:ilvl w:val="1"/>
          <w:numId w:val="33"/>
        </w:numPr>
        <w:spacing w:before="100" w:beforeAutospacing="1" w:after="100" w:afterAutospacing="1" w:line="240" w:lineRule="auto"/>
        <w:ind w:left="863"/>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É integrante de um plano único de alienação de determinado negócio ou unidade operacional geograficamente distinta, ou </w:t>
      </w:r>
    </w:p>
    <w:p w:rsidR="00B83CF1" w:rsidRPr="00B83CF1" w:rsidRDefault="00B83CF1" w:rsidP="00B83CF1">
      <w:pPr>
        <w:numPr>
          <w:ilvl w:val="1"/>
          <w:numId w:val="33"/>
        </w:numPr>
        <w:spacing w:before="100" w:beforeAutospacing="1" w:after="100" w:afterAutospacing="1" w:line="240" w:lineRule="auto"/>
        <w:ind w:left="863"/>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Representa uma subsidiária detida exclusivamente para revenda.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Exemplos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Sempre que existam operações descontinuadas, a entidade que as detém com o intuito de desinvestir nessas áreas deve discriminar no balanço e no anexo essas mesmas operações.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Determinada empresa pretende desinvestir na área do fabrico de móveis em pinho, substituindo estes materiais por madeira de cerejeira. Ou por exemplo, pretende que a unidade de distribuição da zona sul do país seja "abandonada".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Nota final</w:t>
      </w:r>
    </w:p>
    <w:p w:rsid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activos caracterizados como não correntes apenas deverão ser reclassificados como correntes quando satisfazerem as condições de classificação como detidos para venda, de acordo com a NCRF 8.</w:t>
      </w:r>
    </w:p>
    <w:p w:rsidR="00F25306" w:rsidRDefault="00F25306" w:rsidP="00B83CF1">
      <w:pPr>
        <w:spacing w:before="58" w:line="240" w:lineRule="auto"/>
        <w:jc w:val="both"/>
        <w:rPr>
          <w:rFonts w:ascii="Arial" w:eastAsia="Times New Roman" w:hAnsi="Arial" w:cs="Arial"/>
          <w:sz w:val="24"/>
          <w:szCs w:val="24"/>
          <w:lang w:eastAsia="pt-PT"/>
        </w:rPr>
      </w:pPr>
    </w:p>
    <w:p w:rsidR="00F25306" w:rsidRDefault="00F25306" w:rsidP="00B83CF1">
      <w:pPr>
        <w:spacing w:before="58" w:line="240" w:lineRule="auto"/>
        <w:jc w:val="both"/>
        <w:rPr>
          <w:rFonts w:ascii="Arial" w:eastAsia="Times New Roman" w:hAnsi="Arial" w:cs="Arial"/>
          <w:sz w:val="24"/>
          <w:szCs w:val="24"/>
          <w:lang w:eastAsia="pt-PT"/>
        </w:rPr>
      </w:pPr>
    </w:p>
    <w:p w:rsidR="00F25306" w:rsidRPr="00B83CF1" w:rsidRDefault="00F25306" w:rsidP="00B83CF1">
      <w:pPr>
        <w:spacing w:before="58" w:line="240" w:lineRule="auto"/>
        <w:jc w:val="both"/>
        <w:rPr>
          <w:rFonts w:ascii="Arial" w:eastAsia="Times New Roman" w:hAnsi="Arial" w:cs="Arial"/>
          <w:sz w:val="24"/>
          <w:szCs w:val="24"/>
          <w:lang w:eastAsia="pt-PT"/>
        </w:rPr>
      </w:pPr>
    </w:p>
    <w:p w:rsidR="00B83CF1" w:rsidRPr="00F25306" w:rsidRDefault="00B83CF1" w:rsidP="00B83CF1">
      <w:pPr>
        <w:spacing w:before="115" w:line="264" w:lineRule="auto"/>
        <w:outlineLvl w:val="2"/>
        <w:rPr>
          <w:rFonts w:ascii="Georgia" w:eastAsia="Times New Roman" w:hAnsi="Georgia" w:cs="Arial"/>
          <w:color w:val="FF0000"/>
          <w:spacing w:val="-12"/>
          <w:sz w:val="36"/>
          <w:szCs w:val="42"/>
          <w:lang w:eastAsia="pt-PT"/>
        </w:rPr>
      </w:pPr>
      <w:bookmarkStart w:id="13" w:name="_Toc290996388"/>
      <w:r w:rsidRPr="00F25306">
        <w:rPr>
          <w:rFonts w:ascii="Georgia" w:eastAsia="Times New Roman" w:hAnsi="Georgia" w:cs="Arial"/>
          <w:color w:val="FF0000"/>
          <w:spacing w:val="-12"/>
          <w:sz w:val="36"/>
          <w:szCs w:val="42"/>
          <w:lang w:eastAsia="pt-PT"/>
        </w:rPr>
        <w:lastRenderedPageBreak/>
        <w:t>NCRF 9 – Locações - Síntese, exemplos e comentários</w:t>
      </w:r>
      <w:bookmarkEnd w:id="13"/>
      <w:r w:rsidRPr="00F25306">
        <w:rPr>
          <w:rFonts w:ascii="Georgia" w:eastAsia="Times New Roman" w:hAnsi="Georgia" w:cs="Arial"/>
          <w:color w:val="FF0000"/>
          <w:spacing w:val="-12"/>
          <w:sz w:val="36"/>
          <w:szCs w:val="42"/>
          <w:lang w:eastAsia="pt-PT"/>
        </w:rPr>
        <w:t xml:space="preserve"> </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A presente norma, NCRF 9 – Locações, não apresenta grandes alterações face ao que já delineava o POC.</w:t>
      </w:r>
    </w:p>
    <w:p w:rsidR="00B83CF1" w:rsidRPr="00B83CF1" w:rsidRDefault="00B83CF1" w:rsidP="00B83CF1">
      <w:pPr>
        <w:spacing w:before="58" w:after="115" w:line="276" w:lineRule="atLeast"/>
        <w:jc w:val="both"/>
        <w:rPr>
          <w:rFonts w:ascii="Arial" w:eastAsia="Times New Roman" w:hAnsi="Arial" w:cs="Arial"/>
          <w:b/>
          <w:bCs/>
          <w:color w:val="444444"/>
          <w:sz w:val="21"/>
          <w:szCs w:val="21"/>
          <w:lang w:eastAsia="pt-PT"/>
        </w:rPr>
      </w:pPr>
      <w:r w:rsidRPr="00B83CF1">
        <w:rPr>
          <w:rFonts w:ascii="Arial" w:eastAsia="Times New Roman" w:hAnsi="Arial" w:cs="Arial"/>
          <w:b/>
          <w:bCs/>
          <w:color w:val="444444"/>
          <w:sz w:val="21"/>
          <w:szCs w:val="21"/>
          <w:lang w:eastAsia="pt-PT"/>
        </w:rPr>
        <w:t>Transpõem-se, essencialmente, da IAS 17 e define o tratamento contabilístico a ser adoptado no caso de um bem objecto de locação, independentemente da natureza do mesmo, e clarifica o procedimento das locações no âmbito do locador (considera que o locador deve reconhecer, na demonstração de resultados, os recebimentos das locações operacionais como proveitos).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Âmbito de aplicação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A norma aplica-se a todas as locações, bem como às operações que incorporem a transmissão do direito de usar determinado activo.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Classificação das locações: Locação Financeira Vs Locação Operacional: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Locação financeira admite o reconhecimento de activo, sendo que o seu valor vai sendo diminuído pela amortização das rendas (classificado no activo empresa).</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Locação operacional apenas reconhece como custo, na demonstração de resultados, os pagamentos inerentes à locação (não é classificado como activo na empresa, nível financeiro, e apenas as rendas se denotam a nível económico).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Ou seja, se existe a transferência de todos os riscos e vantagens inerentes à posse de determinado activo (perdas de inactividade, obsolescência tecnológica) para o locatário, a operação é financeira, se não é operacional.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Exemplos de situações que definem que uma locação seja classificada como locação financeira</w:t>
      </w:r>
    </w:p>
    <w:p w:rsidR="00B83CF1" w:rsidRPr="00B83CF1" w:rsidRDefault="00B83CF1" w:rsidP="00B83CF1">
      <w:pPr>
        <w:numPr>
          <w:ilvl w:val="0"/>
          <w:numId w:val="34"/>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No final do prazo o bem é transferido para o locatário. </w:t>
      </w:r>
    </w:p>
    <w:p w:rsidR="00B83CF1" w:rsidRPr="00B83CF1" w:rsidRDefault="00B83CF1" w:rsidP="00B83CF1">
      <w:pPr>
        <w:numPr>
          <w:ilvl w:val="0"/>
          <w:numId w:val="34"/>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O locatário tem a opção de compra do activo por um valor inferior ao seu justo valor à data em que a opção de compra é materializada. </w:t>
      </w:r>
    </w:p>
    <w:p w:rsidR="00B83CF1" w:rsidRPr="00B83CF1" w:rsidRDefault="00B83CF1" w:rsidP="00B83CF1">
      <w:pPr>
        <w:numPr>
          <w:ilvl w:val="0"/>
          <w:numId w:val="34"/>
        </w:numPr>
        <w:spacing w:before="100" w:beforeAutospacing="1" w:after="100" w:afterAutospacing="1" w:line="240" w:lineRule="auto"/>
        <w:ind w:left="489"/>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A duração da locação cobre a maior parte da vida útil do bem.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Exemplo</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Determinada entidade pretende alienar um terreno a uma outra sociedade. A sociedade compradora deverá relevar esta operação como financeira ou operacional?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Como os terrenos, normalmente, têm uma duração ilimitada, se a locação possuir uma cláusula que defina a transmissão do terreno no final do contrato, estaremos no âmbito de uma locação financeira. Se nada for evidenciado quanto à transmissão, a mesma será caracterizada como operacional.</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Divulgações</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Os locatários (quem aluga e utiliza os bens) estão obrigados a efectuar as seguintes publicações:</w:t>
      </w:r>
    </w:p>
    <w:p w:rsidR="00B83CF1" w:rsidRPr="00B83CF1" w:rsidRDefault="00B83CF1" w:rsidP="00B83CF1">
      <w:pPr>
        <w:numPr>
          <w:ilvl w:val="0"/>
          <w:numId w:val="35"/>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Classificar, por cada categoria de activo, a quantia registada líquida à data do balanço; </w:t>
      </w:r>
    </w:p>
    <w:p w:rsidR="00B83CF1" w:rsidRPr="00B83CF1" w:rsidRDefault="00B83CF1" w:rsidP="00B83CF1">
      <w:pPr>
        <w:numPr>
          <w:ilvl w:val="0"/>
          <w:numId w:val="35"/>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lastRenderedPageBreak/>
        <w:t xml:space="preserve">A comparação entre o valor dos pagamentos futuros da locação com o valor presente do bem; </w:t>
      </w:r>
    </w:p>
    <w:p w:rsidR="00B83CF1" w:rsidRPr="00B83CF1" w:rsidRDefault="00B83CF1" w:rsidP="00B83CF1">
      <w:pPr>
        <w:numPr>
          <w:ilvl w:val="0"/>
          <w:numId w:val="35"/>
        </w:numPr>
        <w:spacing w:before="100" w:beforeAutospacing="1" w:after="100" w:afterAutospacing="1" w:line="240" w:lineRule="auto"/>
        <w:ind w:left="489"/>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 xml:space="preserve">Dever de reconhecer as rendas como gasto do período. </w:t>
      </w:r>
    </w:p>
    <w:p w:rsidR="00B83CF1" w:rsidRPr="00B83CF1" w:rsidRDefault="00B83CF1" w:rsidP="00B83CF1">
      <w:pPr>
        <w:spacing w:before="58" w:after="115" w:line="240" w:lineRule="auto"/>
        <w:jc w:val="both"/>
        <w:rPr>
          <w:rFonts w:ascii="Arial" w:eastAsia="Times New Roman" w:hAnsi="Arial" w:cs="Arial"/>
          <w:sz w:val="24"/>
          <w:szCs w:val="24"/>
          <w:lang w:eastAsia="pt-PT"/>
        </w:rPr>
      </w:pPr>
      <w:r w:rsidRPr="00B83CF1">
        <w:rPr>
          <w:rFonts w:ascii="Arial" w:eastAsia="Times New Roman" w:hAnsi="Arial" w:cs="Arial"/>
          <w:b/>
          <w:bCs/>
          <w:sz w:val="24"/>
          <w:szCs w:val="24"/>
          <w:lang w:eastAsia="pt-PT"/>
        </w:rPr>
        <w:t>Notas finais</w:t>
      </w:r>
    </w:p>
    <w:p w:rsidR="00B83CF1" w:rsidRDefault="00B83CF1" w:rsidP="00B83CF1">
      <w:pPr>
        <w:spacing w:before="58" w:line="240" w:lineRule="auto"/>
        <w:jc w:val="both"/>
        <w:rPr>
          <w:rFonts w:ascii="Arial" w:eastAsia="Times New Roman" w:hAnsi="Arial" w:cs="Arial"/>
          <w:sz w:val="24"/>
          <w:szCs w:val="24"/>
          <w:lang w:eastAsia="pt-PT"/>
        </w:rPr>
      </w:pPr>
      <w:r w:rsidRPr="00B83CF1">
        <w:rPr>
          <w:rFonts w:ascii="Arial" w:eastAsia="Times New Roman" w:hAnsi="Arial" w:cs="Arial"/>
          <w:sz w:val="24"/>
          <w:szCs w:val="24"/>
          <w:lang w:eastAsia="pt-PT"/>
        </w:rPr>
        <w:t>De acordo com o que o POC já considerava, o SNC reafirma que o mais importante na classificação das operações advém da própria substância inerente à transacção e não da forma do contrato estabelecido entre as partes, locador e locatário.</w:t>
      </w:r>
    </w:p>
    <w:p w:rsidR="00F25306" w:rsidRPr="00AB0A96" w:rsidRDefault="00F25306" w:rsidP="00B83CF1">
      <w:pPr>
        <w:spacing w:before="58" w:line="240" w:lineRule="auto"/>
        <w:jc w:val="both"/>
        <w:rPr>
          <w:rFonts w:ascii="Arial" w:eastAsia="Times New Roman" w:hAnsi="Arial" w:cs="Arial"/>
          <w:color w:val="FF0000"/>
          <w:sz w:val="24"/>
          <w:szCs w:val="24"/>
          <w:lang w:eastAsia="pt-PT"/>
        </w:rPr>
      </w:pPr>
    </w:p>
    <w:p w:rsidR="00AB0A96" w:rsidRDefault="00AB0A96" w:rsidP="00AB0A96">
      <w:pPr>
        <w:spacing w:before="115" w:line="264" w:lineRule="auto"/>
        <w:outlineLvl w:val="2"/>
        <w:rPr>
          <w:rFonts w:ascii="Georgia" w:eastAsia="Times New Roman" w:hAnsi="Georgia" w:cs="Arial"/>
          <w:color w:val="FF0000"/>
          <w:spacing w:val="-12"/>
          <w:sz w:val="42"/>
          <w:szCs w:val="42"/>
          <w:lang w:eastAsia="pt-PT"/>
        </w:rPr>
      </w:pPr>
      <w:bookmarkStart w:id="14" w:name="_Toc290996389"/>
      <w:r w:rsidRPr="00AB0A96">
        <w:rPr>
          <w:rFonts w:ascii="Georgia" w:eastAsia="Times New Roman" w:hAnsi="Georgia" w:cs="Arial"/>
          <w:color w:val="FF0000"/>
          <w:spacing w:val="-12"/>
          <w:sz w:val="42"/>
          <w:szCs w:val="42"/>
          <w:lang w:eastAsia="pt-PT"/>
        </w:rPr>
        <w:t>NCRF 10 – Custo dos empréstimos obtidos - Síntese, exemplos e comentários</w:t>
      </w:r>
      <w:bookmarkEnd w:id="14"/>
      <w:r w:rsidRPr="00AB0A96">
        <w:rPr>
          <w:rFonts w:ascii="Georgia" w:eastAsia="Times New Roman" w:hAnsi="Georgia" w:cs="Arial"/>
          <w:color w:val="FF0000"/>
          <w:spacing w:val="-12"/>
          <w:sz w:val="42"/>
          <w:szCs w:val="42"/>
          <w:lang w:eastAsia="pt-PT"/>
        </w:rPr>
        <w:t xml:space="preserve"> </w:t>
      </w:r>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Esta norma corresponde à IAS 23 e contempla o procedimento a adoptar nas seguintes operações:</w:t>
      </w:r>
    </w:p>
    <w:p w:rsidR="00AB0A96" w:rsidRPr="00AB0A96" w:rsidRDefault="00AB0A96" w:rsidP="00AB0A96">
      <w:pPr>
        <w:numPr>
          <w:ilvl w:val="0"/>
          <w:numId w:val="36"/>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Juros de descobertos bancários; </w:t>
      </w:r>
    </w:p>
    <w:p w:rsidR="00AB0A96" w:rsidRPr="00AB0A96" w:rsidRDefault="00AB0A96" w:rsidP="00AB0A96">
      <w:pPr>
        <w:numPr>
          <w:ilvl w:val="0"/>
          <w:numId w:val="36"/>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Empréstimos de curto e de longo prazo; </w:t>
      </w:r>
    </w:p>
    <w:p w:rsidR="00AB0A96" w:rsidRPr="00AB0A96" w:rsidRDefault="00AB0A96" w:rsidP="00AB0A96">
      <w:pPr>
        <w:numPr>
          <w:ilvl w:val="0"/>
          <w:numId w:val="36"/>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Amortização de descontos ou custos adicionais relacionadas com empréstimos; </w:t>
      </w:r>
    </w:p>
    <w:p w:rsidR="00AB0A96" w:rsidRPr="00AB0A96" w:rsidRDefault="00AB0A96" w:rsidP="00AB0A96">
      <w:pPr>
        <w:numPr>
          <w:ilvl w:val="0"/>
          <w:numId w:val="36"/>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Despesas financeiras relativas às locações; </w:t>
      </w:r>
    </w:p>
    <w:p w:rsidR="00AB0A96" w:rsidRPr="00AB0A96" w:rsidRDefault="00AB0A96" w:rsidP="00AB0A96">
      <w:pPr>
        <w:numPr>
          <w:ilvl w:val="0"/>
          <w:numId w:val="36"/>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Diferenças de câmbio resultantes de empréstimos em moeda estrangeira.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Procedimento geral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As entidades, respeitando a presente norma, devem reconhecer o custo dos empréstimos obtidos como gasto do período.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Procedimento alternativo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Capitalizar, classificar no balanço, os custos dos empréstimos obtidos pela aquisição, construção ou produção de activos e reconhecer os restantes custos como gastos do período.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SNC vs POC</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 POC apenas permitia a possibilidade de capitalização dos custos de empréstimos inerentes a activos fixos tangíveis e intangíveis. O SNC, de forma mais abrangente, possibilita ainda a capitalização de custos de empréstimos associados a existências – inventários.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É admissível capitalizar os custos associados a um empréstimo na aquisição de bens que impliquem uma demora expressiva de tempo, para que se considere apto às condições pretendidas pelo seu uso ou venda.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 sociedade XPTO comprou um terreno com o intuito de construir nele uma nova unidade industrial. O terreno adquirido apenas contempla a utilização para fins agrícolas. A empresa XPTO solicitou à Câmara a alteração do âmbito para fins industriais. Esta solicitação, dados os atrasos, deverá demorar </w:t>
      </w:r>
      <w:r w:rsidRPr="00AB0A96">
        <w:rPr>
          <w:rFonts w:ascii="Arial" w:eastAsia="Times New Roman" w:hAnsi="Arial" w:cs="Arial"/>
          <w:sz w:val="24"/>
          <w:szCs w:val="24"/>
          <w:lang w:eastAsia="pt-PT"/>
        </w:rPr>
        <w:lastRenderedPageBreak/>
        <w:t>apenas em 12 meses. A empresa suportou um empréstimo para a aquisição do terreno. É possível capitalizar os custos de financiamento?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Sim! Uma vez que o requerimento se torna necessário para preparar o activo para a sua utilização.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Imagine-se o seguinte</w:t>
      </w:r>
    </w:p>
    <w:p w:rsidR="00AB0A96" w:rsidRDefault="00AB0A96" w:rsidP="00AB0A96">
      <w:pPr>
        <w:spacing w:before="58"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Actualmente a maioria dos construtores de moradias não finaliza as suas construções, deixando que os acabamentos possam ser delineados pelo futuro comprador. Neste caso é permissível capitalizar os custos dos empréstimos obtidos? Neste caso concreto, não! A política descrita configura apenas uma forma de personalização, estando o activo desde logo qualificável para uso ou venda.</w:t>
      </w:r>
    </w:p>
    <w:p w:rsidR="00F25306" w:rsidRPr="00AB0A96" w:rsidRDefault="00F25306" w:rsidP="00AB0A96">
      <w:pPr>
        <w:spacing w:before="58" w:line="240" w:lineRule="auto"/>
        <w:jc w:val="both"/>
        <w:rPr>
          <w:rFonts w:ascii="Arial" w:eastAsia="Times New Roman" w:hAnsi="Arial" w:cs="Arial"/>
          <w:color w:val="FF0000"/>
          <w:sz w:val="24"/>
          <w:szCs w:val="24"/>
          <w:lang w:eastAsia="pt-PT"/>
        </w:rPr>
      </w:pPr>
    </w:p>
    <w:p w:rsidR="00AB0A96" w:rsidRDefault="00AB0A96" w:rsidP="00AB0A96">
      <w:pPr>
        <w:spacing w:before="115" w:line="264" w:lineRule="auto"/>
        <w:outlineLvl w:val="2"/>
        <w:rPr>
          <w:rFonts w:ascii="Georgia" w:hAnsi="Georgia" w:cs="Arial"/>
          <w:color w:val="FF0000"/>
          <w:spacing w:val="-12"/>
          <w:sz w:val="42"/>
          <w:szCs w:val="42"/>
        </w:rPr>
      </w:pPr>
      <w:bookmarkStart w:id="15" w:name="_Toc290996390"/>
      <w:r w:rsidRPr="00AB0A96">
        <w:rPr>
          <w:rFonts w:ascii="Georgia" w:hAnsi="Georgia" w:cs="Arial"/>
          <w:color w:val="FF0000"/>
          <w:spacing w:val="-12"/>
          <w:sz w:val="42"/>
          <w:szCs w:val="42"/>
        </w:rPr>
        <w:t>NCRF 11 – Propriedades de investimento - Síntese, exemplos e comentários</w:t>
      </w:r>
      <w:bookmarkEnd w:id="15"/>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As propriedades de investimento estão enquadradas na NCRF 11 (IAS 40), e caracterizam-se por propriedades detidas para obter rendas e/ou para valorização do capital (terrenos ou edifícios ou parte de um edifício).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Exemplos de propriedades de investimento</w:t>
      </w:r>
    </w:p>
    <w:p w:rsidR="00AB0A96" w:rsidRPr="00AB0A96" w:rsidRDefault="00AB0A96" w:rsidP="00AB0A96">
      <w:pPr>
        <w:numPr>
          <w:ilvl w:val="0"/>
          <w:numId w:val="3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Terrenos detidos para valorização de capital a longo prazo (não para venda no curto prazo); </w:t>
      </w:r>
    </w:p>
    <w:p w:rsidR="00AB0A96" w:rsidRPr="00AB0A96" w:rsidRDefault="00AB0A96" w:rsidP="00AB0A96">
      <w:pPr>
        <w:numPr>
          <w:ilvl w:val="0"/>
          <w:numId w:val="3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Terrenos detidos para uso futuro, ainda que indeterminado; </w:t>
      </w:r>
    </w:p>
    <w:p w:rsidR="00AB0A96" w:rsidRPr="00AB0A96" w:rsidRDefault="00AB0A96" w:rsidP="00AB0A96">
      <w:pPr>
        <w:numPr>
          <w:ilvl w:val="0"/>
          <w:numId w:val="3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Edifícios detidos e locados operacionalmente; </w:t>
      </w:r>
    </w:p>
    <w:p w:rsidR="00AB0A96" w:rsidRPr="00AB0A96" w:rsidRDefault="00AB0A96" w:rsidP="00AB0A96">
      <w:pPr>
        <w:numPr>
          <w:ilvl w:val="0"/>
          <w:numId w:val="3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Edifícios desocupados mas detidos com a intenção de locar segundo locações operacionais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Exemplos de itens que não são propriedades de investimento</w:t>
      </w:r>
    </w:p>
    <w:p w:rsidR="00AB0A96" w:rsidRPr="00AB0A96" w:rsidRDefault="00AB0A96" w:rsidP="00AB0A96">
      <w:pPr>
        <w:numPr>
          <w:ilvl w:val="0"/>
          <w:numId w:val="3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Propriedade destinada à venda no decurso da actividade; </w:t>
      </w:r>
    </w:p>
    <w:p w:rsidR="00AB0A96" w:rsidRPr="00AB0A96" w:rsidRDefault="00AB0A96" w:rsidP="00AB0A96">
      <w:pPr>
        <w:numPr>
          <w:ilvl w:val="0"/>
          <w:numId w:val="3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Propriedade em vias de construção ou desenvolvimento destinadas à venda ou revenda; </w:t>
      </w:r>
    </w:p>
    <w:p w:rsidR="00AB0A96" w:rsidRPr="00AB0A96" w:rsidRDefault="00AB0A96" w:rsidP="00AB0A96">
      <w:pPr>
        <w:numPr>
          <w:ilvl w:val="0"/>
          <w:numId w:val="3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Propriedade que esteja a ser construída ou desenvolvida por conta de terceiros.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Resumo de classificação de, outros, imóveis</w:t>
      </w:r>
    </w:p>
    <w:p w:rsidR="00AB0A96" w:rsidRPr="00AB0A96" w:rsidRDefault="00AB0A96" w:rsidP="00AB0A96">
      <w:pPr>
        <w:numPr>
          <w:ilvl w:val="0"/>
          <w:numId w:val="39"/>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Imóveis afectos à actividade - Imobilizado tangível; </w:t>
      </w:r>
    </w:p>
    <w:p w:rsidR="00AB0A96" w:rsidRPr="00AB0A96" w:rsidRDefault="00AB0A96" w:rsidP="00AB0A96">
      <w:pPr>
        <w:numPr>
          <w:ilvl w:val="0"/>
          <w:numId w:val="39"/>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Imóveis destinados à venda - Inventários;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Exemplos práticos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Uma empresa adquire um terreno, estando por decidir se constrói ou se o vende a terceiros.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decisão será tomada ainda durante o exercício económico actual. O terreno é uma propriedade de investimento?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lastRenderedPageBreak/>
        <w:t>Não! O terreno deve ser classificado como inventários. No entanto, se a empresa tiver a capacidade de deter o terreno por um período longo, com vista à sua apreciação e consequente valorização, protelando a decisão de construção ou venda, o mesmo já deverá estar enquadrado como propriedade de investimento.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Reconhecimento inicial das propriedades de investimento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 registo inicial é realizado ao preço de custo, adicionado de eventuais despesas inerentes à aquisição (honorários pagos a profissionais, impostos de transferência de propriedade ou demais despesas de compra).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As perdas operacionais, ocorridas antes do activo alcançar o nível planeado de ocupação, são excluídas do custo das propriedades.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Reconhecimento posterior das propriedades de investimento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Existem duas opções para a mensuração subsequente, seguindo o modelo do custo ou o modelo do justo valor.</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Notas finais</w:t>
      </w:r>
    </w:p>
    <w:p w:rsidR="00AB0A96" w:rsidRDefault="00AB0A96" w:rsidP="00AB0A96">
      <w:pPr>
        <w:spacing w:before="58"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É imperativo que uma entidade que detenha propriedades de investimento</w:t>
      </w:r>
      <w:proofErr w:type="gramStart"/>
      <w:r w:rsidRPr="00AB0A96">
        <w:rPr>
          <w:rFonts w:ascii="Arial" w:eastAsia="Times New Roman" w:hAnsi="Arial" w:cs="Arial"/>
          <w:sz w:val="24"/>
          <w:szCs w:val="24"/>
          <w:lang w:eastAsia="pt-PT"/>
        </w:rPr>
        <w:t>,</w:t>
      </w:r>
      <w:proofErr w:type="gramEnd"/>
      <w:r w:rsidRPr="00AB0A96">
        <w:rPr>
          <w:rFonts w:ascii="Arial" w:eastAsia="Times New Roman" w:hAnsi="Arial" w:cs="Arial"/>
          <w:sz w:val="24"/>
          <w:szCs w:val="24"/>
          <w:lang w:eastAsia="pt-PT"/>
        </w:rPr>
        <w:t xml:space="preserve"> divulgue nas suas demonstrações financeiras qual o modelo de mensuração adoptado, ou seja, se utiliza o modelo do custo ou o justo valor. Caso a propriedade esteja baseada no justo valor, a entidade deve indicar quais os critérios em que se baseou para tal valorização (por exemplo: se está baseada numa avaliação de um perito avaliador).</w:t>
      </w:r>
    </w:p>
    <w:p w:rsidR="00F25306" w:rsidRPr="00F25306" w:rsidRDefault="00F25306" w:rsidP="00AB0A96">
      <w:pPr>
        <w:spacing w:before="58" w:line="240" w:lineRule="auto"/>
        <w:jc w:val="both"/>
        <w:rPr>
          <w:rFonts w:ascii="Arial" w:eastAsia="Times New Roman" w:hAnsi="Arial" w:cs="Arial"/>
          <w:szCs w:val="24"/>
          <w:lang w:eastAsia="pt-PT"/>
        </w:rPr>
      </w:pPr>
    </w:p>
    <w:p w:rsidR="00AB0A96" w:rsidRPr="00F25306" w:rsidRDefault="00AB0A96" w:rsidP="00AB0A96">
      <w:pPr>
        <w:spacing w:before="58" w:line="240" w:lineRule="auto"/>
        <w:jc w:val="both"/>
        <w:rPr>
          <w:rFonts w:ascii="Georgia" w:hAnsi="Georgia" w:cs="Arial"/>
          <w:color w:val="FF0000"/>
          <w:spacing w:val="-12"/>
          <w:sz w:val="40"/>
          <w:szCs w:val="42"/>
        </w:rPr>
      </w:pPr>
      <w:r w:rsidRPr="00F25306">
        <w:rPr>
          <w:rFonts w:ascii="Georgia" w:hAnsi="Georgia" w:cs="Arial"/>
          <w:color w:val="FF0000"/>
          <w:spacing w:val="-12"/>
          <w:sz w:val="40"/>
          <w:szCs w:val="42"/>
        </w:rPr>
        <w:t>NCRF 12 – Imparidade de activos - Síntese, exemplos e comentários</w:t>
      </w:r>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A imparidade dos activos é dos conceitos mais importantes do SNC. A sua equivalência advém da IAS 36.</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presente norma visa assegurar que as entidades não possuam, nos seus activos, montantes que não sejam perecíveis de recuperar. Ou seja, se determinado activo está registado no balanço de uma entidade por 1.500 euros, mas o valor de venda de mercado ou o valor de uso ascende a 1.000 euros, descreve-se este activo como estando com imparidade.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As sociedades não podem ter um determinado cliente no seu activo com a dívida de 5.000 euros, se possuem informações que apenas irão recuperar 4.000 euros, assim como não devem ter no seu activo tangível, determinado equipamento com um valor de 100.000 euros (valor contabilístico), se o valor actual de mercado é de 75.000 euros, e não existe a possibilidade de recuperação dos 100.000 euros pelo uso do próprio bem.</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Identificação de um activo em imparidade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As entidades devem aferir o seguinte teste de imparidade:</w:t>
      </w:r>
    </w:p>
    <w:p w:rsidR="00AB0A96" w:rsidRPr="00AB0A96" w:rsidRDefault="00AB0A96" w:rsidP="00AB0A96">
      <w:pPr>
        <w:numPr>
          <w:ilvl w:val="0"/>
          <w:numId w:val="40"/>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Quantia escriturada </w:t>
      </w:r>
      <w:proofErr w:type="gramStart"/>
      <w:r w:rsidRPr="00AB0A96">
        <w:rPr>
          <w:rFonts w:ascii="Arial" w:eastAsia="Times New Roman" w:hAnsi="Arial" w:cs="Arial"/>
          <w:sz w:val="24"/>
          <w:szCs w:val="24"/>
          <w:lang w:eastAsia="pt-PT"/>
        </w:rPr>
        <w:t>balanço &gt;</w:t>
      </w:r>
      <w:proofErr w:type="gramEnd"/>
      <w:r w:rsidRPr="00AB0A96">
        <w:rPr>
          <w:rFonts w:ascii="Arial" w:eastAsia="Times New Roman" w:hAnsi="Arial" w:cs="Arial"/>
          <w:sz w:val="24"/>
          <w:szCs w:val="24"/>
          <w:lang w:eastAsia="pt-PT"/>
        </w:rPr>
        <w:t xml:space="preserve"> Quantia recuperável? </w:t>
      </w:r>
    </w:p>
    <w:p w:rsidR="00AB0A96" w:rsidRPr="00AB0A96" w:rsidRDefault="00AB0A96" w:rsidP="00AB0A96">
      <w:pPr>
        <w:numPr>
          <w:ilvl w:val="1"/>
          <w:numId w:val="40"/>
        </w:numPr>
        <w:spacing w:before="100" w:beforeAutospacing="1" w:after="100" w:afterAutospacing="1" w:line="240" w:lineRule="auto"/>
        <w:ind w:left="863"/>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lastRenderedPageBreak/>
        <w:t xml:space="preserve">Quantia </w:t>
      </w:r>
      <w:proofErr w:type="gramStart"/>
      <w:r w:rsidRPr="00AB0A96">
        <w:rPr>
          <w:rFonts w:ascii="Arial" w:eastAsia="Times New Roman" w:hAnsi="Arial" w:cs="Arial"/>
          <w:sz w:val="24"/>
          <w:szCs w:val="24"/>
          <w:lang w:eastAsia="pt-PT"/>
        </w:rPr>
        <w:t>escriturada = Custo histórico</w:t>
      </w:r>
      <w:proofErr w:type="gramEnd"/>
      <w:r w:rsidRPr="00AB0A96">
        <w:rPr>
          <w:rFonts w:ascii="Arial" w:eastAsia="Times New Roman" w:hAnsi="Arial" w:cs="Arial"/>
          <w:sz w:val="24"/>
          <w:szCs w:val="24"/>
          <w:lang w:eastAsia="pt-PT"/>
        </w:rPr>
        <w:t xml:space="preserve"> ou valor reavaliado do activo, deduzido de eventuais depreciações acumuladas e perdas de imparidade (valor contabilístico do activo). </w:t>
      </w:r>
    </w:p>
    <w:p w:rsidR="00AB0A96" w:rsidRPr="00AB0A96" w:rsidRDefault="00AB0A96" w:rsidP="00AB0A96">
      <w:pPr>
        <w:numPr>
          <w:ilvl w:val="1"/>
          <w:numId w:val="40"/>
        </w:numPr>
        <w:spacing w:before="100" w:beforeAutospacing="1" w:after="100" w:afterAutospacing="1" w:line="240" w:lineRule="auto"/>
        <w:ind w:left="863"/>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Quantia recuperável = Maior do justo valor ou valor de uso.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Observações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Se o valor contabilístico de determinado activo for superior à sua quantia recuperável, o activo está em imparidade, sendo a entidade obrigada a reduzir o valor desse activo e considerá-lo como gasto do próprio exercício. Obviamente, se o activo estiver em condições de ser recuperado por uma valor superior ao que está registado na contabilidade, valor contabilístico, a entidade não procede a qualquer regularização.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Quando devem ser realizados os testes de imparidade?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Os testes de imparidade devem ser efectuados sempre que:</w:t>
      </w:r>
    </w:p>
    <w:p w:rsidR="00AB0A96" w:rsidRPr="00AB0A96" w:rsidRDefault="00AB0A96" w:rsidP="00AB0A96">
      <w:pPr>
        <w:numPr>
          <w:ilvl w:val="0"/>
          <w:numId w:val="41"/>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Exista evidência de obsolescência ou danos físicos nos activos; </w:t>
      </w:r>
    </w:p>
    <w:p w:rsidR="00AB0A96" w:rsidRPr="00AB0A96" w:rsidRDefault="00AB0A96" w:rsidP="00AB0A96">
      <w:pPr>
        <w:numPr>
          <w:ilvl w:val="0"/>
          <w:numId w:val="41"/>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Sempre que se possua a informação de que o desempenho económico do activo é inferior, ou possa vir a ser inferior, ao que se planeou; </w:t>
      </w:r>
    </w:p>
    <w:p w:rsidR="00AB0A96" w:rsidRPr="00AB0A96" w:rsidRDefault="00AB0A96" w:rsidP="00AB0A96">
      <w:pPr>
        <w:numPr>
          <w:ilvl w:val="0"/>
          <w:numId w:val="41"/>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Desde que se possua informações de que o valor de mercado do activo diminuiu mais do que o esperado, durante o período (reduções para além dos factores inerentes ao tempo ou utilização). </w:t>
      </w:r>
    </w:p>
    <w:p w:rsidR="00AB0A96" w:rsidRPr="00AB0A96" w:rsidRDefault="00AB0A96" w:rsidP="00AB0A96">
      <w:pPr>
        <w:numPr>
          <w:ilvl w:val="0"/>
          <w:numId w:val="41"/>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Sempre que existam alterações nas taxas de mercado / retorno que impliquem as alterações das taxas de desconto utilizadas para materializar o valor de uso de determinado activo. </w:t>
      </w:r>
    </w:p>
    <w:p w:rsidR="00AB0A96" w:rsidRPr="00AB0A96" w:rsidRDefault="00AB0A96" w:rsidP="00AB0A96">
      <w:pPr>
        <w:numPr>
          <w:ilvl w:val="0"/>
          <w:numId w:val="41"/>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Revelação de um forte concorrente que adivinha retardar o </w:t>
      </w:r>
      <w:proofErr w:type="spellStart"/>
      <w:r w:rsidRPr="00AB0A96">
        <w:rPr>
          <w:rFonts w:ascii="Arial" w:eastAsia="Times New Roman" w:hAnsi="Arial" w:cs="Arial"/>
          <w:sz w:val="24"/>
          <w:szCs w:val="24"/>
          <w:lang w:eastAsia="pt-PT"/>
        </w:rPr>
        <w:t>payback</w:t>
      </w:r>
      <w:proofErr w:type="spellEnd"/>
      <w:r w:rsidRPr="00AB0A96">
        <w:rPr>
          <w:rFonts w:ascii="Arial" w:eastAsia="Times New Roman" w:hAnsi="Arial" w:cs="Arial"/>
          <w:sz w:val="24"/>
          <w:szCs w:val="24"/>
          <w:lang w:eastAsia="pt-PT"/>
        </w:rPr>
        <w:t xml:space="preserve"> (retorno do investimento) dos investimentos em activos.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Excepções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Os activos intangíveis, com vida útil indefinida, assim como o </w:t>
      </w:r>
      <w:proofErr w:type="spellStart"/>
      <w:r w:rsidRPr="00AB0A96">
        <w:rPr>
          <w:rFonts w:ascii="Arial" w:eastAsia="Times New Roman" w:hAnsi="Arial" w:cs="Arial"/>
          <w:sz w:val="24"/>
          <w:szCs w:val="24"/>
          <w:lang w:eastAsia="pt-PT"/>
        </w:rPr>
        <w:t>goodwill</w:t>
      </w:r>
      <w:proofErr w:type="spellEnd"/>
      <w:r w:rsidRPr="00AB0A96">
        <w:rPr>
          <w:rFonts w:ascii="Arial" w:eastAsia="Times New Roman" w:hAnsi="Arial" w:cs="Arial"/>
          <w:sz w:val="24"/>
          <w:szCs w:val="24"/>
          <w:lang w:eastAsia="pt-PT"/>
        </w:rPr>
        <w:t>, deverão ser alvo de testes de imparidade anualmente.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1- Imagine-se que uma empresa compra um portátil, para uso profissional, por 1.000 euros. Posteriormente o director financeiro dessa entidade constatou que o mesmo portátil estaria à venda no mercado por 750 euros.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Deve-se reconhecer a imparidade deste portátil? Não! Porque o valor de uso do portátil não se altera pelo simples facto de se verificar o valor de comercialização mais reduzido. Continua a ser possível a utilização do equipamento da mesma forma (não basta analisar o valor de mercado).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2 – A empresa X adquiriu uma máquina (por 75.000 euros) para a sua produção com a capacidade de produzir 6.000 unidades por mês. Entretanto o fornecedor do equipamento colocou uma nova máquina em comercialização que permite produzir </w:t>
      </w:r>
      <w:proofErr w:type="gramStart"/>
      <w:r w:rsidRPr="00AB0A96">
        <w:rPr>
          <w:rFonts w:ascii="Arial" w:eastAsia="Times New Roman" w:hAnsi="Arial" w:cs="Arial"/>
          <w:sz w:val="24"/>
          <w:szCs w:val="24"/>
          <w:lang w:eastAsia="pt-PT"/>
        </w:rPr>
        <w:t>10.000</w:t>
      </w:r>
      <w:proofErr w:type="gramEnd"/>
      <w:r w:rsidRPr="00AB0A96">
        <w:rPr>
          <w:rFonts w:ascii="Arial" w:eastAsia="Times New Roman" w:hAnsi="Arial" w:cs="Arial"/>
          <w:sz w:val="24"/>
          <w:szCs w:val="24"/>
          <w:lang w:eastAsia="pt-PT"/>
        </w:rPr>
        <w:t xml:space="preserve"> </w:t>
      </w:r>
      <w:proofErr w:type="gramStart"/>
      <w:r w:rsidRPr="00AB0A96">
        <w:rPr>
          <w:rFonts w:ascii="Arial" w:eastAsia="Times New Roman" w:hAnsi="Arial" w:cs="Arial"/>
          <w:sz w:val="24"/>
          <w:szCs w:val="24"/>
          <w:lang w:eastAsia="pt-PT"/>
        </w:rPr>
        <w:t>unidades</w:t>
      </w:r>
      <w:proofErr w:type="gramEnd"/>
      <w:r w:rsidRPr="00AB0A96">
        <w:rPr>
          <w:rFonts w:ascii="Arial" w:eastAsia="Times New Roman" w:hAnsi="Arial" w:cs="Arial"/>
          <w:sz w:val="24"/>
          <w:szCs w:val="24"/>
          <w:lang w:eastAsia="pt-PT"/>
        </w:rPr>
        <w:t xml:space="preserve"> mensais.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empresa X planeia a substituição da máquina, uma vez que a actual não lhe permite responder atempadamente ao mercado.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O activo está em imparidade?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lastRenderedPageBreak/>
        <w:t>Deve ser analisado o valor de uso do equipamento, mas neste caso o valor de uso é zero, porque deixa de ter capacidade para atender às necessidades da empresa.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Qual o valor de mercado? Se o valor de realização por venda da máquina ascender a um valor inferior ao valor contabilístico, deve ser reconhecida a imparidade.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Como calcular o valor de uso de um activo?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As entidades devem utilizar as técnicas do conceito do valor presente, estimando os </w:t>
      </w:r>
      <w:proofErr w:type="spellStart"/>
      <w:r w:rsidRPr="00AB0A96">
        <w:rPr>
          <w:rFonts w:ascii="Arial" w:eastAsia="Times New Roman" w:hAnsi="Arial" w:cs="Arial"/>
          <w:sz w:val="24"/>
          <w:szCs w:val="24"/>
          <w:lang w:eastAsia="pt-PT"/>
        </w:rPr>
        <w:t>cash-flows</w:t>
      </w:r>
      <w:proofErr w:type="spellEnd"/>
      <w:r w:rsidRPr="00AB0A96">
        <w:rPr>
          <w:rFonts w:ascii="Arial" w:eastAsia="Times New Roman" w:hAnsi="Arial" w:cs="Arial"/>
          <w:sz w:val="24"/>
          <w:szCs w:val="24"/>
          <w:lang w:eastAsia="pt-PT"/>
        </w:rPr>
        <w:t xml:space="preserve"> futuros e actualizá-los ao momento corrente segundo uma taxa de actualização (representa o custo de oportunidade).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Observações finais</w:t>
      </w:r>
    </w:p>
    <w:p w:rsidR="00AB0A96" w:rsidRDefault="00AB0A96" w:rsidP="00AB0A96">
      <w:pPr>
        <w:spacing w:before="58"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 importante será analisar os indicadores internos, por exemplo através de desempenho, e constatar eventuais valores de venda, para que se proceda ou não a realizações de perdas por imparidade de determinado activo.</w:t>
      </w:r>
    </w:p>
    <w:p w:rsidR="00F25306" w:rsidRPr="00AB0A96" w:rsidRDefault="00F25306" w:rsidP="00AB0A96">
      <w:pPr>
        <w:spacing w:before="58" w:line="240" w:lineRule="auto"/>
        <w:jc w:val="both"/>
        <w:rPr>
          <w:rFonts w:ascii="Arial" w:eastAsia="Times New Roman" w:hAnsi="Arial" w:cs="Arial"/>
          <w:sz w:val="24"/>
          <w:szCs w:val="24"/>
          <w:lang w:eastAsia="pt-PT"/>
        </w:rPr>
      </w:pPr>
    </w:p>
    <w:p w:rsidR="00AB0A96" w:rsidRPr="00F25306" w:rsidRDefault="00AB0A96" w:rsidP="00AB0A96">
      <w:pPr>
        <w:spacing w:before="58" w:line="240" w:lineRule="auto"/>
        <w:jc w:val="both"/>
        <w:rPr>
          <w:rFonts w:ascii="Georgia" w:hAnsi="Georgia" w:cs="Arial"/>
          <w:color w:val="FF0000"/>
          <w:spacing w:val="-12"/>
          <w:sz w:val="40"/>
          <w:szCs w:val="42"/>
        </w:rPr>
      </w:pPr>
      <w:r w:rsidRPr="00F25306">
        <w:rPr>
          <w:rFonts w:ascii="Georgia" w:hAnsi="Georgia" w:cs="Arial"/>
          <w:color w:val="FF0000"/>
          <w:spacing w:val="-12"/>
          <w:sz w:val="40"/>
          <w:szCs w:val="42"/>
        </w:rPr>
        <w:t>NCRF 13 – Interesses em empreendimentos conjuntos e investimentos em associadas - Síntese, exemplos e comentários</w:t>
      </w:r>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A NCRF 13 (IAS 31) interpreta quais os procedimentos contabilísticos, de reconhecimento e divulgação, a ser utilizados e quais as formas que podem assumir:</w:t>
      </w:r>
    </w:p>
    <w:p w:rsidR="00AB0A96" w:rsidRPr="00AB0A96" w:rsidRDefault="00AB0A96" w:rsidP="00AB0A96">
      <w:pPr>
        <w:numPr>
          <w:ilvl w:val="0"/>
          <w:numId w:val="42"/>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Agrupamentos complementares de empresas; </w:t>
      </w:r>
    </w:p>
    <w:p w:rsidR="00AB0A96" w:rsidRPr="00AB0A96" w:rsidRDefault="00AB0A96" w:rsidP="00AB0A96">
      <w:pPr>
        <w:numPr>
          <w:ilvl w:val="0"/>
          <w:numId w:val="42"/>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Consórcios; </w:t>
      </w:r>
    </w:p>
    <w:p w:rsidR="00AB0A96" w:rsidRPr="00AB0A96" w:rsidRDefault="00AB0A96" w:rsidP="00AB0A96">
      <w:pPr>
        <w:numPr>
          <w:ilvl w:val="0"/>
          <w:numId w:val="42"/>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Agrupamentos europeus de interesse económico e associações em participação; </w:t>
      </w:r>
    </w:p>
    <w:p w:rsidR="00AB0A96" w:rsidRPr="00AB0A96" w:rsidRDefault="00AB0A96" w:rsidP="00AB0A96">
      <w:pPr>
        <w:numPr>
          <w:ilvl w:val="0"/>
          <w:numId w:val="42"/>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Investimentos em associadas.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Terminologia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Associada:</w:t>
      </w:r>
      <w:r w:rsidRPr="00AB0A96">
        <w:rPr>
          <w:rFonts w:ascii="Arial" w:eastAsia="Times New Roman" w:hAnsi="Arial" w:cs="Arial"/>
          <w:sz w:val="24"/>
          <w:szCs w:val="24"/>
          <w:lang w:eastAsia="pt-PT"/>
        </w:rPr>
        <w:t xml:space="preserve"> Quando existe influência significativa (entre 20% e 50% dos direitos de </w:t>
      </w:r>
      <w:proofErr w:type="gramStart"/>
      <w:r w:rsidRPr="00AB0A96">
        <w:rPr>
          <w:rFonts w:ascii="Arial" w:eastAsia="Times New Roman" w:hAnsi="Arial" w:cs="Arial"/>
          <w:sz w:val="24"/>
          <w:szCs w:val="24"/>
          <w:lang w:eastAsia="pt-PT"/>
        </w:rPr>
        <w:t>voto )</w:t>
      </w:r>
      <w:proofErr w:type="gramEnd"/>
      <w:r w:rsidRPr="00AB0A96">
        <w:rPr>
          <w:rFonts w:ascii="Arial" w:eastAsia="Times New Roman" w:hAnsi="Arial" w:cs="Arial"/>
          <w:sz w:val="24"/>
          <w:szCs w:val="24"/>
          <w:lang w:eastAsia="pt-PT"/>
        </w:rPr>
        <w:t xml:space="preserve"> sobre uma entidade, constituída ou não sob a forma comercial e desde que não seja uma subsidiária ou que represente um empreendimento conjunto.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Subsidiária: Uma entidade controlada (participação superior a 50% dos direitos de voto) por uma outra entidade (denominada empresa-mãe)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Controlo:</w:t>
      </w:r>
      <w:r w:rsidRPr="00AB0A96">
        <w:rPr>
          <w:rFonts w:ascii="Arial" w:eastAsia="Times New Roman" w:hAnsi="Arial" w:cs="Arial"/>
          <w:sz w:val="24"/>
          <w:szCs w:val="24"/>
          <w:lang w:eastAsia="pt-PT"/>
        </w:rPr>
        <w:t xml:space="preserve"> Representa o poder de gerir as políticas financeiras e operacionais de uma entidade, para que com isso se obtenha benefícios. O poder de participar nas decisões financeiras e operacionais significa influência significativa.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Controlo conjunto:</w:t>
      </w:r>
      <w:r w:rsidRPr="00AB0A96">
        <w:rPr>
          <w:rFonts w:ascii="Arial" w:eastAsia="Times New Roman" w:hAnsi="Arial" w:cs="Arial"/>
          <w:sz w:val="24"/>
          <w:szCs w:val="24"/>
          <w:lang w:eastAsia="pt-PT"/>
        </w:rPr>
        <w:t xml:space="preserve"> Significa partilha de controlo da actividade económica de uma entidade.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lastRenderedPageBreak/>
        <w:t xml:space="preserve">Empreendimento conjunto: </w:t>
      </w:r>
      <w:r w:rsidRPr="00AB0A96">
        <w:rPr>
          <w:rFonts w:ascii="Arial" w:eastAsia="Times New Roman" w:hAnsi="Arial" w:cs="Arial"/>
          <w:sz w:val="24"/>
          <w:szCs w:val="24"/>
          <w:lang w:eastAsia="pt-PT"/>
        </w:rPr>
        <w:t>Controlo conjunto, detida por dois ou mais parceiros, sob uma determinada actividade económica (representada por um acordo contratual).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Interesses em empreendimentos conjuntos VS Investimentos em associadas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Concretamente a diferença releva-se pela existência ou não de um acordo contratual que permita o controlo conjunto, ou seja, se em determinada actividade existir formalização contratual, será considerado um empreendimento conjunto, se não é um investimento em associada.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Acordo contratual</w:t>
      </w:r>
    </w:p>
    <w:p w:rsidR="00AB0A96" w:rsidRPr="00AB0A96" w:rsidRDefault="00AB0A96" w:rsidP="00AB0A96">
      <w:pPr>
        <w:numPr>
          <w:ilvl w:val="0"/>
          <w:numId w:val="43"/>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Define a actividade e respectiva duração; </w:t>
      </w:r>
    </w:p>
    <w:p w:rsidR="00AB0A96" w:rsidRPr="00AB0A96" w:rsidRDefault="00AB0A96" w:rsidP="00AB0A96">
      <w:pPr>
        <w:numPr>
          <w:ilvl w:val="0"/>
          <w:numId w:val="43"/>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Incorpora quais as contribuições de capital pelos empreendedores; </w:t>
      </w:r>
    </w:p>
    <w:p w:rsidR="00AB0A96" w:rsidRPr="00AB0A96" w:rsidRDefault="00AB0A96" w:rsidP="00AB0A96">
      <w:pPr>
        <w:numPr>
          <w:ilvl w:val="0"/>
          <w:numId w:val="43"/>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Classifica a forma de partilha dos rendimentos, gastos e resultados do empreendimento conjunto; </w:t>
      </w:r>
    </w:p>
    <w:p w:rsidR="00AB0A96" w:rsidRPr="00AB0A96" w:rsidRDefault="00AB0A96" w:rsidP="00AB0A96">
      <w:pPr>
        <w:numPr>
          <w:ilvl w:val="0"/>
          <w:numId w:val="43"/>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Estabelece o controlo conjunto, inviabilizando que um dos empreendedores por si só controle a actividade; </w:t>
      </w:r>
    </w:p>
    <w:p w:rsidR="00AB0A96" w:rsidRPr="00AB0A96" w:rsidRDefault="00AB0A96" w:rsidP="00AB0A96">
      <w:pPr>
        <w:numPr>
          <w:ilvl w:val="0"/>
          <w:numId w:val="43"/>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Nomeia o órgão de direcção ou gestão e os direitos de voto.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Operações conjuntamente controladas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Caracterizam-se pela coordenação conjunta de recursos e capacidades de determinada actividade (por duas entidades existentes), sem que para isso se tenha que constituir uma nova entidade.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empresa X pretende desenvolver uma máquina Y, mas necessita da colaboração da empresa XPTO.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Existe um esforço conjunto sobre o trabalho a desenvolver, logo posteriormente verifica-se uma partilha do produto dos resultados por ambas as empresas.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Reconhecimento e mensuração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Os eventuais activos, passivos, rendimentos e ganhos ou perdas e gastos devem ser escriturados nas demonstrações financeiras de cada empreendedor (ainda que possam ser preparados registos específicos para efeitos de melhor avaliação do empreendimento conjunto).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Activos conjuntos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Sempre que o empreendimento conjunto possua activos controlados em conjunto, cada empreendedor deverá reconhecer nas suas demonstrações individuais:</w:t>
      </w:r>
    </w:p>
    <w:p w:rsidR="00AB0A96" w:rsidRPr="00AB0A96" w:rsidRDefault="00AB0A96" w:rsidP="00AB0A96">
      <w:pPr>
        <w:numPr>
          <w:ilvl w:val="0"/>
          <w:numId w:val="44"/>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 parte detida nos activos controlados em conjunto (devidamente classificados com a sua natureza); </w:t>
      </w:r>
    </w:p>
    <w:p w:rsidR="00AB0A96" w:rsidRPr="00AB0A96" w:rsidRDefault="00AB0A96" w:rsidP="00AB0A96">
      <w:pPr>
        <w:numPr>
          <w:ilvl w:val="0"/>
          <w:numId w:val="44"/>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Descrição de eventuais passivos (financiamentos obtidos para aquisição de activos); </w:t>
      </w:r>
    </w:p>
    <w:p w:rsidR="00AB0A96" w:rsidRPr="00AB0A96" w:rsidRDefault="00AB0A96" w:rsidP="00AB0A96">
      <w:pPr>
        <w:numPr>
          <w:ilvl w:val="0"/>
          <w:numId w:val="44"/>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Quaisquer proveitos de venda ou uso obtidos do empreendimento, assim como todos os gastos ocorridos pelo empreendimento em comum.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Investimentos em associadas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lastRenderedPageBreak/>
        <w:t>Os investimentos em associadas, regra geral, devem ser registados pelo método da equivalência patrimonial.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 entanto, se existirem restrições que impeçam a transferência de fundos para a empresa detentora da participação, deve ser utilizado o método do custo.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Método de equivalência patrimonial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adopção do método de equivalência patrimonial implica que inicialmente o investimento numa associada seja classificado ao custo.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Posteriormente, a participação será aumentada ou reduzida perante os resultados da associada.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 A: aquisição de uma participação na empresa Y (associada) por 50.000 euros.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Movimentação contabilística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Débito da conta 4121 por 50.000 euros (pelo custo da participação);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Crédito da conta 12 por 50.000 euros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 B: aquisição de uma participação na empresa X (subsidiaria) por 30.000 euros.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Movimentação contabilística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Débito da conta 4111 por 30.000 euros (pelo custo da participação);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Crédito da conta 12 por 30.000 euros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 C: Ajustamentos do investimento de acordo com o MEP (método da equivalência patrimonial):</w:t>
      </w:r>
    </w:p>
    <w:p w:rsidR="00AB0A96" w:rsidRPr="00AB0A96" w:rsidRDefault="00AB0A96" w:rsidP="00AB0A96">
      <w:pPr>
        <w:numPr>
          <w:ilvl w:val="0"/>
          <w:numId w:val="45"/>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Se o resultado da participada for positivo: </w:t>
      </w:r>
    </w:p>
    <w:p w:rsidR="00AB0A96" w:rsidRPr="00AB0A96" w:rsidRDefault="00AB0A96" w:rsidP="00AB0A96">
      <w:pPr>
        <w:numPr>
          <w:ilvl w:val="1"/>
          <w:numId w:val="45"/>
        </w:numPr>
        <w:spacing w:before="100" w:beforeAutospacing="1" w:after="100" w:afterAutospacing="1" w:line="240" w:lineRule="auto"/>
        <w:ind w:left="863"/>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Débito da conta 4121/4111 (pelo aumento do valor da participação) </w:t>
      </w:r>
    </w:p>
    <w:p w:rsidR="00AB0A96" w:rsidRPr="00AB0A96" w:rsidRDefault="00AB0A96" w:rsidP="00AB0A96">
      <w:pPr>
        <w:numPr>
          <w:ilvl w:val="1"/>
          <w:numId w:val="45"/>
        </w:numPr>
        <w:spacing w:before="100" w:beforeAutospacing="1" w:after="100" w:afterAutospacing="1" w:line="240" w:lineRule="auto"/>
        <w:ind w:left="863"/>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Crédito da conta 7851 </w:t>
      </w:r>
    </w:p>
    <w:p w:rsidR="00AB0A96" w:rsidRPr="00AB0A96" w:rsidRDefault="00AB0A96" w:rsidP="00AB0A96">
      <w:pPr>
        <w:numPr>
          <w:ilvl w:val="0"/>
          <w:numId w:val="45"/>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Se o resultado da participada for negativo: </w:t>
      </w:r>
    </w:p>
    <w:p w:rsidR="00AB0A96" w:rsidRPr="00AB0A96" w:rsidRDefault="00AB0A96" w:rsidP="00AB0A96">
      <w:pPr>
        <w:numPr>
          <w:ilvl w:val="1"/>
          <w:numId w:val="45"/>
        </w:numPr>
        <w:spacing w:before="100" w:beforeAutospacing="1" w:after="100" w:afterAutospacing="1" w:line="240" w:lineRule="auto"/>
        <w:ind w:left="863"/>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Débito da conta 6852 (pela diminuição do valor da participação) </w:t>
      </w:r>
    </w:p>
    <w:p w:rsidR="00AB0A96" w:rsidRPr="00AB0A96" w:rsidRDefault="00AB0A96" w:rsidP="00AB0A96">
      <w:pPr>
        <w:numPr>
          <w:ilvl w:val="1"/>
          <w:numId w:val="45"/>
        </w:numPr>
        <w:spacing w:before="100" w:beforeAutospacing="1" w:after="100" w:afterAutospacing="1" w:line="240" w:lineRule="auto"/>
        <w:ind w:left="863"/>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Crédito da conta 74121/4111 </w:t>
      </w:r>
    </w:p>
    <w:p w:rsidR="00AB0A96" w:rsidRDefault="00AB0A96" w:rsidP="00AB0A96">
      <w:pPr>
        <w:spacing w:before="58"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os ajustamentos são realizados na proporção da % detida.</w:t>
      </w:r>
    </w:p>
    <w:p w:rsidR="00F25306" w:rsidRDefault="00F25306" w:rsidP="00AB0A96">
      <w:pPr>
        <w:spacing w:before="58" w:line="240" w:lineRule="auto"/>
        <w:jc w:val="both"/>
        <w:rPr>
          <w:rFonts w:ascii="Arial" w:eastAsia="Times New Roman" w:hAnsi="Arial" w:cs="Arial"/>
          <w:sz w:val="24"/>
          <w:szCs w:val="24"/>
          <w:lang w:eastAsia="pt-PT"/>
        </w:rPr>
      </w:pPr>
    </w:p>
    <w:p w:rsidR="00AB0A96" w:rsidRPr="00F25306" w:rsidRDefault="00AB0A96" w:rsidP="00AB0A96">
      <w:pPr>
        <w:spacing w:before="58" w:line="240" w:lineRule="auto"/>
        <w:jc w:val="both"/>
        <w:rPr>
          <w:rFonts w:ascii="Arial" w:eastAsia="Times New Roman" w:hAnsi="Arial" w:cs="Arial"/>
          <w:color w:val="FF0000"/>
          <w:szCs w:val="24"/>
          <w:lang w:eastAsia="pt-PT"/>
        </w:rPr>
      </w:pPr>
      <w:r w:rsidRPr="00F25306">
        <w:rPr>
          <w:rFonts w:ascii="Georgia" w:hAnsi="Georgia" w:cs="Arial"/>
          <w:color w:val="FF0000"/>
          <w:spacing w:val="-12"/>
          <w:sz w:val="40"/>
          <w:szCs w:val="42"/>
        </w:rPr>
        <w:t>NCRF 14 – Concentrações de actividades empresariais - Síntese, exemplos e comentários</w:t>
      </w:r>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Adjudicada da IFSR 3 a presente norma esboça o tratamento e procedimentos a serem efectuados quando determinada entidade incorpora uma concentração de actividades empresariais.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As concentrações empresariais serão alvo de contabilização pelo método de compra.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lastRenderedPageBreak/>
        <w:t xml:space="preserve">O método de compra pressupõe que o adquirente contabilize os elementos activos e passivos identificáveis pelos seus justos valores à data de aquisição (se existir </w:t>
      </w:r>
      <w:proofErr w:type="spellStart"/>
      <w:r w:rsidRPr="00AB0A96">
        <w:rPr>
          <w:rFonts w:ascii="Arial" w:eastAsia="Times New Roman" w:hAnsi="Arial" w:cs="Arial"/>
          <w:sz w:val="24"/>
          <w:szCs w:val="24"/>
          <w:lang w:eastAsia="pt-PT"/>
        </w:rPr>
        <w:t>Goodwill</w:t>
      </w:r>
      <w:proofErr w:type="spellEnd"/>
      <w:r w:rsidRPr="00AB0A96">
        <w:rPr>
          <w:rFonts w:ascii="Arial" w:eastAsia="Times New Roman" w:hAnsi="Arial" w:cs="Arial"/>
          <w:sz w:val="24"/>
          <w:szCs w:val="24"/>
          <w:lang w:eastAsia="pt-PT"/>
        </w:rPr>
        <w:t>, o mesmo deve ser reconhecido, não devendo ser no entanto amortizado).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Método da compra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aplicabilidade do método da compra obriga a identificar o adquirente, registar o custo inerente à aquisição da actividade empresarial, bem como repartir o custo da aquisição dessa mesma actividade aos activos e passivos contraídos.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O que é uma concentração de actividades empresariais?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concentração de actividades empresariais pode subsistir segundo as seguintes formas:</w:t>
      </w:r>
    </w:p>
    <w:p w:rsidR="00AB0A96" w:rsidRPr="00AB0A96" w:rsidRDefault="00AB0A96" w:rsidP="00AB0A96">
      <w:pPr>
        <w:numPr>
          <w:ilvl w:val="0"/>
          <w:numId w:val="46"/>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Caracteriza-se pela compra de parte do capital próprio de determinada entidade; </w:t>
      </w:r>
    </w:p>
    <w:p w:rsidR="00AB0A96" w:rsidRPr="00AB0A96" w:rsidRDefault="00AB0A96" w:rsidP="00AB0A96">
      <w:pPr>
        <w:numPr>
          <w:ilvl w:val="0"/>
          <w:numId w:val="46"/>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Pode verificar-se pela compra de todos os activos líquidos, ou passivos de outra entidade; </w:t>
      </w:r>
    </w:p>
    <w:p w:rsidR="00AB0A96" w:rsidRPr="00AB0A96" w:rsidRDefault="00AB0A96" w:rsidP="00AB0A96">
      <w:pPr>
        <w:numPr>
          <w:ilvl w:val="0"/>
          <w:numId w:val="46"/>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Aquisição do conjunto de activos de uma determinada actividade empresarial.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operação de concentração concretiza-se pela emissão de instrumentos de capital próprio e/ou por transferências de caixa ou outros activos.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As transacções que a norma refere sujeitam-se não só às efectuadas entre entidades, mas também entre accionistas de diferentes entidades ou entre accionistas de determinada entidade e outra sociedade.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As relações entre empresas-mãe e subsidiárias estão também incluídas no âmbito de concentração de actividade empresarial.</w:t>
      </w:r>
    </w:p>
    <w:p w:rsidR="00AB0A96" w:rsidRPr="00AB0A96" w:rsidRDefault="00AB0A96" w:rsidP="00AB0A96">
      <w:pPr>
        <w:spacing w:before="58"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De uma forma clara, a actividade empresarial representa um conjunto de actividades desenvolvidas com o intuito de obter benefícios, socorrendo-se da utilização de determinados recursos, activos.</w:t>
      </w:r>
    </w:p>
    <w:p w:rsidR="00AB0A96" w:rsidRPr="00F25306" w:rsidRDefault="00AB0A96" w:rsidP="00AB0A96">
      <w:pPr>
        <w:spacing w:before="58" w:line="240" w:lineRule="auto"/>
        <w:jc w:val="both"/>
        <w:rPr>
          <w:rFonts w:ascii="Arial" w:eastAsia="Times New Roman" w:hAnsi="Arial" w:cs="Arial"/>
          <w:color w:val="FF0000"/>
          <w:szCs w:val="24"/>
          <w:lang w:eastAsia="pt-PT"/>
        </w:rPr>
      </w:pPr>
    </w:p>
    <w:p w:rsidR="00AB0A96" w:rsidRPr="00F25306" w:rsidRDefault="00AB0A96" w:rsidP="00AB0A96">
      <w:pPr>
        <w:spacing w:before="115" w:line="264" w:lineRule="auto"/>
        <w:outlineLvl w:val="2"/>
        <w:rPr>
          <w:rFonts w:ascii="Georgia" w:eastAsia="Times New Roman" w:hAnsi="Georgia" w:cs="Arial"/>
          <w:color w:val="FF0000"/>
          <w:spacing w:val="-12"/>
          <w:sz w:val="40"/>
          <w:szCs w:val="42"/>
          <w:lang w:eastAsia="pt-PT"/>
        </w:rPr>
      </w:pPr>
      <w:bookmarkStart w:id="16" w:name="_Toc290996391"/>
      <w:r w:rsidRPr="00F25306">
        <w:rPr>
          <w:rFonts w:ascii="Georgia" w:eastAsia="Times New Roman" w:hAnsi="Georgia" w:cs="Arial"/>
          <w:color w:val="FF0000"/>
          <w:spacing w:val="-12"/>
          <w:sz w:val="40"/>
          <w:szCs w:val="42"/>
          <w:lang w:eastAsia="pt-PT"/>
        </w:rPr>
        <w:t>NCRF 15 – Investimento em subsidiárias e consolidação - Síntese, exemplos e comentários</w:t>
      </w:r>
      <w:bookmarkEnd w:id="16"/>
      <w:r w:rsidRPr="00F25306">
        <w:rPr>
          <w:rFonts w:ascii="Georgia" w:eastAsia="Times New Roman" w:hAnsi="Georgia" w:cs="Arial"/>
          <w:color w:val="FF0000"/>
          <w:spacing w:val="-12"/>
          <w:sz w:val="40"/>
          <w:szCs w:val="42"/>
          <w:lang w:eastAsia="pt-PT"/>
        </w:rPr>
        <w:t xml:space="preserve"> </w:t>
      </w:r>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Adoptada da norma Internacional de Contabilidade (IAS 27), a presente NCRF 15 resume-se por instruir as orientações práticas a adoptar na consolidação de contas, definindo as regras, a ser cumpridas nas demonstrações financeiras da empresa mãe, no que concerne à valorização dos investimentos financeiros em subsidiárias.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Excluem-se diferentes métodos de contabilização de concentrações empresariais e dos possíveis efeitos colaterais na respectiva consolidação.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Apresentação das demonstrações financeiras individuais da empresa-mãe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 valorização do investimento em subsidiárias ocorre pelo método da equivalência patrimonial (é um método de consolidação), a não ser que existam </w:t>
      </w:r>
      <w:r w:rsidRPr="00AB0A96">
        <w:rPr>
          <w:rFonts w:ascii="Arial" w:eastAsia="Times New Roman" w:hAnsi="Arial" w:cs="Arial"/>
          <w:sz w:val="24"/>
          <w:szCs w:val="24"/>
          <w:lang w:eastAsia="pt-PT"/>
        </w:rPr>
        <w:lastRenderedPageBreak/>
        <w:t>impedimentos à transposição de capitais para a empresa detentora (neste caso, obrigatoriamente deve ser utilizado o método do custo).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Como se efectua a consolidação de contas?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Simplesmente são utilizados procedimentos que permitem a apresentação das demonstrações financeiras do grupo (empresa mãe e subsidiária) como se </w:t>
      </w:r>
      <w:proofErr w:type="spellStart"/>
      <w:r w:rsidRPr="00AB0A96">
        <w:rPr>
          <w:rFonts w:ascii="Arial" w:eastAsia="Times New Roman" w:hAnsi="Arial" w:cs="Arial"/>
          <w:sz w:val="24"/>
          <w:szCs w:val="24"/>
          <w:lang w:eastAsia="pt-PT"/>
        </w:rPr>
        <w:t>se</w:t>
      </w:r>
      <w:proofErr w:type="spellEnd"/>
      <w:r w:rsidRPr="00AB0A96">
        <w:rPr>
          <w:rFonts w:ascii="Arial" w:eastAsia="Times New Roman" w:hAnsi="Arial" w:cs="Arial"/>
          <w:sz w:val="24"/>
          <w:szCs w:val="24"/>
          <w:lang w:eastAsia="pt-PT"/>
        </w:rPr>
        <w:t xml:space="preserve"> tratasse apenas de uma única entidade.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Que procedimentos são utilizados na consolidação?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Essencialmente eliminam-se todos os saldos, transacções, rendimentos e ganhos ou perdas ocorridas por inerência de operações entre a empresa mãe e subsidiárias (inclusive eventuais resultados reconhecidos nos inventários e demais activos fixos relacionados por operações entre o grupo).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Divulgações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As demonstrações consolidadas, do grupo, devem referir a natureza da relação entre as empresas e eventuais restrições que existam sobre transferências de capitais.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Se porventura existir dispensa de consolidação, a empresa mãe deve referir a base legal da razão inerente a essa dispensa.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 de aplicação do cálculo da diferença de consolidação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Imagine-se que a sociedade XPTO adquiriu por 500.000 euros (80%) uma participação na sociedade X.</w:t>
      </w:r>
    </w:p>
    <w:p w:rsidR="00AB0A96" w:rsidRPr="00AB0A96" w:rsidRDefault="00AB0A96" w:rsidP="00AB0A96">
      <w:pPr>
        <w:spacing w:before="58"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Balanço da sociedade participada X</w:t>
      </w:r>
    </w:p>
    <w:tbl>
      <w:tblPr>
        <w:tblW w:w="5000" w:type="pct"/>
        <w:jc w:val="center"/>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3393"/>
        <w:gridCol w:w="5341"/>
      </w:tblGrid>
      <w:tr w:rsidR="00AB0A96" w:rsidRPr="00AB0A96" w:rsidTr="00AB0A96">
        <w:trPr>
          <w:jc w:val="center"/>
        </w:trPr>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b/>
                <w:bCs/>
                <w:color w:val="404040"/>
                <w:sz w:val="24"/>
                <w:szCs w:val="24"/>
                <w:lang w:eastAsia="pt-PT"/>
              </w:rPr>
              <w:t>Activo (em euros)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b/>
                <w:bCs/>
                <w:color w:val="404040"/>
                <w:sz w:val="24"/>
                <w:szCs w:val="24"/>
                <w:lang w:eastAsia="pt-PT"/>
              </w:rPr>
              <w:t>Passivo (em euros)</w:t>
            </w:r>
          </w:p>
        </w:tc>
      </w:tr>
      <w:tr w:rsidR="00AB0A96" w:rsidRPr="00AB0A96" w:rsidTr="00AB0A96">
        <w:trPr>
          <w:jc w:val="center"/>
        </w:trPr>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color w:val="404040"/>
                <w:sz w:val="24"/>
                <w:szCs w:val="24"/>
                <w:lang w:eastAsia="pt-PT"/>
              </w:rPr>
              <w:t>Activo tangível: 45.000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color w:val="404040"/>
                <w:sz w:val="24"/>
                <w:szCs w:val="24"/>
                <w:lang w:eastAsia="pt-PT"/>
              </w:rPr>
              <w:t>Capital: 200.000</w:t>
            </w:r>
          </w:p>
        </w:tc>
      </w:tr>
      <w:tr w:rsidR="00AB0A96" w:rsidRPr="00AB0A96" w:rsidTr="00AB0A96">
        <w:trPr>
          <w:jc w:val="center"/>
        </w:trPr>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color w:val="404040"/>
                <w:sz w:val="24"/>
                <w:szCs w:val="24"/>
                <w:lang w:eastAsia="pt-PT"/>
              </w:rPr>
              <w:t>Inventários: 300.000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color w:val="404040"/>
                <w:sz w:val="24"/>
                <w:szCs w:val="24"/>
                <w:lang w:eastAsia="pt-PT"/>
              </w:rPr>
              <w:t>Reservas: 150.000</w:t>
            </w:r>
          </w:p>
        </w:tc>
      </w:tr>
      <w:tr w:rsidR="00AB0A96" w:rsidRPr="00AB0A96" w:rsidTr="00AB0A96">
        <w:trPr>
          <w:jc w:val="center"/>
        </w:trPr>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color w:val="404040"/>
                <w:sz w:val="24"/>
                <w:szCs w:val="24"/>
                <w:lang w:eastAsia="pt-PT"/>
              </w:rPr>
              <w:t>Dívidas terceiros: 140.000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color w:val="404040"/>
                <w:sz w:val="24"/>
                <w:szCs w:val="24"/>
                <w:lang w:eastAsia="pt-PT"/>
              </w:rPr>
              <w:t>Dívidas a terceiros: 145.000</w:t>
            </w:r>
          </w:p>
        </w:tc>
      </w:tr>
      <w:tr w:rsidR="00AB0A96" w:rsidRPr="00AB0A96" w:rsidTr="00AB0A96">
        <w:trPr>
          <w:jc w:val="center"/>
        </w:trPr>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color w:val="404040"/>
                <w:sz w:val="24"/>
                <w:szCs w:val="24"/>
                <w:lang w:eastAsia="pt-PT"/>
              </w:rPr>
              <w:t>Caixa: 10.000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p>
        </w:tc>
      </w:tr>
      <w:tr w:rsidR="00AB0A96" w:rsidRPr="00AB0A96" w:rsidTr="00AB0A96">
        <w:trPr>
          <w:jc w:val="center"/>
        </w:trPr>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b/>
                <w:bCs/>
                <w:color w:val="404040"/>
                <w:sz w:val="24"/>
                <w:szCs w:val="24"/>
                <w:lang w:eastAsia="pt-PT"/>
              </w:rPr>
              <w:t>Total do activo: 495.000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AB0A96" w:rsidRPr="00AB0A96" w:rsidRDefault="00AB0A96" w:rsidP="00AB0A96">
            <w:pPr>
              <w:spacing w:after="0" w:line="240" w:lineRule="auto"/>
              <w:rPr>
                <w:rFonts w:ascii="Arial" w:eastAsia="Times New Roman" w:hAnsi="Arial" w:cs="Arial"/>
                <w:color w:val="404040"/>
                <w:sz w:val="24"/>
                <w:szCs w:val="24"/>
                <w:lang w:eastAsia="pt-PT"/>
              </w:rPr>
            </w:pPr>
            <w:r w:rsidRPr="00AB0A96">
              <w:rPr>
                <w:rFonts w:ascii="Arial" w:eastAsia="Times New Roman" w:hAnsi="Arial" w:cs="Arial"/>
                <w:b/>
                <w:bCs/>
                <w:color w:val="404040"/>
                <w:sz w:val="24"/>
                <w:szCs w:val="24"/>
                <w:lang w:eastAsia="pt-PT"/>
              </w:rPr>
              <w:t>Total Capital próprio e passivo: 495.000</w:t>
            </w:r>
          </w:p>
        </w:tc>
      </w:tr>
    </w:tbl>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b/>
          <w:bCs/>
          <w:sz w:val="24"/>
          <w:szCs w:val="24"/>
          <w:lang w:eastAsia="pt-PT"/>
        </w:rPr>
        <w:t>Justos valores da sociedade participada X</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Activo intangível: 50.000 euros;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Activo tangível: 100.000 euros;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Inventários: 300.000 euros;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Dívidas de terceiros: 140.000 euros;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Caixa: 10.000 euros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Dividas a </w:t>
      </w:r>
      <w:proofErr w:type="gramStart"/>
      <w:r w:rsidRPr="00AB0A96">
        <w:rPr>
          <w:rFonts w:ascii="Arial" w:eastAsia="Times New Roman" w:hAnsi="Arial" w:cs="Arial"/>
          <w:sz w:val="24"/>
          <w:szCs w:val="24"/>
          <w:lang w:eastAsia="pt-PT"/>
        </w:rPr>
        <w:t xml:space="preserve">terceiros </w:t>
      </w:r>
      <w:proofErr w:type="gramEnd"/>
      <w:r w:rsidRPr="00AB0A96">
        <w:rPr>
          <w:rFonts w:ascii="Arial" w:eastAsia="Times New Roman" w:hAnsi="Arial" w:cs="Arial"/>
          <w:sz w:val="24"/>
          <w:szCs w:val="24"/>
          <w:lang w:eastAsia="pt-PT"/>
        </w:rPr>
        <w:t>: 230.000 euros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b/>
          <w:bCs/>
          <w:sz w:val="24"/>
          <w:szCs w:val="24"/>
          <w:lang w:eastAsia="pt-PT"/>
        </w:rPr>
        <w:t>Justo valor activos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50.000 + 100.000 +300.000 + 140.000 +10.000 = 600.000 </w:t>
      </w:r>
      <w:proofErr w:type="gramStart"/>
      <w:r w:rsidRPr="00AB0A96">
        <w:rPr>
          <w:rFonts w:ascii="Arial" w:eastAsia="Times New Roman" w:hAnsi="Arial" w:cs="Arial"/>
          <w:sz w:val="24"/>
          <w:szCs w:val="24"/>
          <w:lang w:eastAsia="pt-PT"/>
        </w:rPr>
        <w:t>euros</w:t>
      </w:r>
      <w:proofErr w:type="gramEnd"/>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b/>
          <w:bCs/>
          <w:sz w:val="24"/>
          <w:szCs w:val="24"/>
          <w:lang w:eastAsia="pt-PT"/>
        </w:rPr>
        <w:t>Justo valor dos passivos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230.000 </w:t>
      </w:r>
      <w:proofErr w:type="gramStart"/>
      <w:r w:rsidRPr="00AB0A96">
        <w:rPr>
          <w:rFonts w:ascii="Arial" w:eastAsia="Times New Roman" w:hAnsi="Arial" w:cs="Arial"/>
          <w:sz w:val="24"/>
          <w:szCs w:val="24"/>
          <w:lang w:eastAsia="pt-PT"/>
        </w:rPr>
        <w:t>euros</w:t>
      </w:r>
      <w:proofErr w:type="gramEnd"/>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b/>
          <w:bCs/>
          <w:sz w:val="24"/>
          <w:szCs w:val="24"/>
          <w:lang w:eastAsia="pt-PT"/>
        </w:rPr>
        <w:lastRenderedPageBreak/>
        <w:t>Justo valor dos capitais próprios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600.000 – 230.000 = 370.000 </w:t>
      </w:r>
      <w:proofErr w:type="gramStart"/>
      <w:r w:rsidRPr="00AB0A96">
        <w:rPr>
          <w:rFonts w:ascii="Arial" w:eastAsia="Times New Roman" w:hAnsi="Arial" w:cs="Arial"/>
          <w:sz w:val="24"/>
          <w:szCs w:val="24"/>
          <w:lang w:eastAsia="pt-PT"/>
        </w:rPr>
        <w:t>euros</w:t>
      </w:r>
      <w:proofErr w:type="gramEnd"/>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b/>
          <w:bCs/>
          <w:sz w:val="24"/>
          <w:szCs w:val="24"/>
          <w:lang w:eastAsia="pt-PT"/>
        </w:rPr>
        <w:t>Apuramento da diferença de consolidação</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b/>
          <w:bCs/>
          <w:sz w:val="24"/>
          <w:szCs w:val="24"/>
          <w:lang w:eastAsia="pt-PT"/>
        </w:rPr>
        <w:t>Resolução</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Na óptica da empresa XPTO (que detém a participação).</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Diferença consolidação = custo aquisição participação - % participação dos justos valores activos e passivos.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Custo aquisição participação: 500.000 euros;</w:t>
      </w:r>
    </w:p>
    <w:p w:rsidR="00AB0A96" w:rsidRPr="00AB0A96" w:rsidRDefault="00AB0A96" w:rsidP="00AB0A96">
      <w:pPr>
        <w:spacing w:before="58" w:after="115"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Justo valor capitais próprios: 370.000 euros.</w:t>
      </w:r>
    </w:p>
    <w:p w:rsidR="00AB0A96" w:rsidRDefault="00AB0A96" w:rsidP="00AB0A96">
      <w:pPr>
        <w:spacing w:before="58" w:line="240" w:lineRule="auto"/>
        <w:rPr>
          <w:rFonts w:ascii="Arial" w:eastAsia="Times New Roman" w:hAnsi="Arial" w:cs="Arial"/>
          <w:sz w:val="24"/>
          <w:szCs w:val="24"/>
          <w:lang w:eastAsia="pt-PT"/>
        </w:rPr>
      </w:pPr>
      <w:r w:rsidRPr="00AB0A96">
        <w:rPr>
          <w:rFonts w:ascii="Arial" w:eastAsia="Times New Roman" w:hAnsi="Arial" w:cs="Arial"/>
          <w:sz w:val="24"/>
          <w:szCs w:val="24"/>
          <w:lang w:eastAsia="pt-PT"/>
        </w:rPr>
        <w:t>DC = 500.000 – 80% * 370.000 euros = 204.000 euros.</w:t>
      </w:r>
    </w:p>
    <w:p w:rsidR="00F25306" w:rsidRPr="00AB0A96" w:rsidRDefault="00F25306" w:rsidP="00AB0A96">
      <w:pPr>
        <w:spacing w:before="58" w:line="240" w:lineRule="auto"/>
        <w:rPr>
          <w:rFonts w:ascii="Arial" w:eastAsia="Times New Roman" w:hAnsi="Arial" w:cs="Arial"/>
          <w:sz w:val="24"/>
          <w:szCs w:val="24"/>
          <w:lang w:eastAsia="pt-PT"/>
        </w:rPr>
      </w:pPr>
    </w:p>
    <w:p w:rsidR="00AB0A96" w:rsidRPr="00F25306" w:rsidRDefault="00AB0A96" w:rsidP="00AB0A96">
      <w:pPr>
        <w:spacing w:before="115" w:line="264" w:lineRule="auto"/>
        <w:outlineLvl w:val="2"/>
        <w:rPr>
          <w:rFonts w:ascii="Georgia" w:hAnsi="Georgia" w:cs="Arial"/>
          <w:color w:val="FF0000"/>
          <w:spacing w:val="-12"/>
          <w:sz w:val="40"/>
          <w:szCs w:val="42"/>
        </w:rPr>
      </w:pPr>
      <w:bookmarkStart w:id="17" w:name="_Toc290996392"/>
      <w:r w:rsidRPr="00F25306">
        <w:rPr>
          <w:rFonts w:ascii="Georgia" w:hAnsi="Georgia" w:cs="Arial"/>
          <w:color w:val="FF0000"/>
          <w:spacing w:val="-12"/>
          <w:sz w:val="40"/>
          <w:szCs w:val="42"/>
        </w:rPr>
        <w:t>NCRF 16 – Exploração e avaliação de recursos minerais - Síntese, exemplos e comentários</w:t>
      </w:r>
      <w:bookmarkEnd w:id="17"/>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A NCRF 16 determina os procedimentos contabilísticos a serem adoptados nas explorações e avaliações de recursos minerais, baseando-se na IFRS 6.</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norma impõe um aperfeiçoamento dos hábitos de registo contabilísticos relacionados com custos de exploração e/ou avaliação e o procedimento de testes de imparidade para esses activos, limitando a possibilidade de serem escriturados nas empresas pelas quantias que efectivamente possam ser recuperadas (por venda ou uso).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Notas: Os custos anteriores à obtenção dos direitos de exploração de determinada área não serão aqui englobados.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exploração e avaliação de recursos minerais incluem:</w:t>
      </w:r>
    </w:p>
    <w:p w:rsidR="00AB0A96" w:rsidRPr="00AB0A96" w:rsidRDefault="00AB0A96" w:rsidP="00AB0A96">
      <w:pPr>
        <w:numPr>
          <w:ilvl w:val="0"/>
          <w:numId w:val="47"/>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Os minérios; </w:t>
      </w:r>
    </w:p>
    <w:p w:rsidR="00AB0A96" w:rsidRPr="00AB0A96" w:rsidRDefault="00AB0A96" w:rsidP="00AB0A96">
      <w:pPr>
        <w:numPr>
          <w:ilvl w:val="0"/>
          <w:numId w:val="47"/>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Petróleo; </w:t>
      </w:r>
    </w:p>
    <w:p w:rsidR="00AB0A96" w:rsidRPr="00AB0A96" w:rsidRDefault="00AB0A96" w:rsidP="00AB0A96">
      <w:pPr>
        <w:numPr>
          <w:ilvl w:val="0"/>
          <w:numId w:val="47"/>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Gás natural.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Método de reconhecimento de activos de exploração e avaliação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Devem ser reconhecidos pelo método do custo.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Elementos integrantes no custo:</w:t>
      </w:r>
    </w:p>
    <w:p w:rsidR="00AB0A96" w:rsidRPr="00AB0A96" w:rsidRDefault="00AB0A96" w:rsidP="00AB0A96">
      <w:pPr>
        <w:numPr>
          <w:ilvl w:val="0"/>
          <w:numId w:val="4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Aquisição de direitos que permitam a exploração; </w:t>
      </w:r>
    </w:p>
    <w:p w:rsidR="00AB0A96" w:rsidRPr="00AB0A96" w:rsidRDefault="00AB0A96" w:rsidP="00AB0A96">
      <w:pPr>
        <w:numPr>
          <w:ilvl w:val="0"/>
          <w:numId w:val="4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Estudos topográficos; </w:t>
      </w:r>
    </w:p>
    <w:p w:rsidR="00AB0A96" w:rsidRPr="00AB0A96" w:rsidRDefault="00AB0A96" w:rsidP="00AB0A96">
      <w:pPr>
        <w:numPr>
          <w:ilvl w:val="0"/>
          <w:numId w:val="4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Estudos geológicos; </w:t>
      </w:r>
    </w:p>
    <w:p w:rsidR="00AB0A96" w:rsidRPr="00AB0A96" w:rsidRDefault="00AB0A96" w:rsidP="00AB0A96">
      <w:pPr>
        <w:numPr>
          <w:ilvl w:val="0"/>
          <w:numId w:val="4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Estudos geoquímicos e geofísicos; </w:t>
      </w:r>
    </w:p>
    <w:p w:rsidR="00AB0A96" w:rsidRPr="00AB0A96" w:rsidRDefault="00AB0A96" w:rsidP="00AB0A96">
      <w:pPr>
        <w:numPr>
          <w:ilvl w:val="0"/>
          <w:numId w:val="4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Valas; </w:t>
      </w:r>
    </w:p>
    <w:p w:rsidR="00AB0A96" w:rsidRPr="00AB0A96" w:rsidRDefault="00AB0A96" w:rsidP="00AB0A96">
      <w:pPr>
        <w:numPr>
          <w:ilvl w:val="0"/>
          <w:numId w:val="4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Amostragem; </w:t>
      </w:r>
    </w:p>
    <w:p w:rsidR="00AB0A96" w:rsidRPr="00AB0A96" w:rsidRDefault="00AB0A96" w:rsidP="00AB0A96">
      <w:pPr>
        <w:numPr>
          <w:ilvl w:val="0"/>
          <w:numId w:val="48"/>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Custos com análise da viabilidade comercial da extracção de um determinado mineral.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lastRenderedPageBreak/>
        <w:t>Atenção: Os custos com o desenvolvimento de recursos minerais não devem ser reconhecidos como activos de exploração e avaliação.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Após o reconhecimento inicial, as entidades podem optar pelo modelo do custo ou o modelo de revalorização para a reclassificação dos activos de exploração e avaliação.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Classificação de activos de exploração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Atendendo à própria natureza dos activos adquiridos, os mesmos deverão ser classificados como tangíveis ou intangíveis.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Exemplos activos de exploração tangíveis:</w:t>
      </w:r>
    </w:p>
    <w:p w:rsidR="00AB0A96" w:rsidRPr="00AB0A96" w:rsidRDefault="00AB0A96" w:rsidP="00AB0A96">
      <w:pPr>
        <w:numPr>
          <w:ilvl w:val="0"/>
          <w:numId w:val="49"/>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Veículos</w:t>
      </w:r>
      <w:proofErr w:type="gramStart"/>
      <w:r w:rsidRPr="00AB0A96">
        <w:rPr>
          <w:rFonts w:ascii="Arial" w:eastAsia="Times New Roman" w:hAnsi="Arial" w:cs="Arial"/>
          <w:sz w:val="24"/>
          <w:szCs w:val="24"/>
          <w:lang w:eastAsia="pt-PT"/>
        </w:rPr>
        <w:t>; </w:t>
      </w:r>
      <w:proofErr w:type="gramEnd"/>
      <w:r w:rsidRPr="00AB0A96">
        <w:rPr>
          <w:rFonts w:ascii="Arial" w:eastAsia="Times New Roman" w:hAnsi="Arial" w:cs="Arial"/>
          <w:sz w:val="24"/>
          <w:szCs w:val="24"/>
          <w:lang w:eastAsia="pt-PT"/>
        </w:rPr>
        <w:t xml:space="preserve"> </w:t>
      </w:r>
    </w:p>
    <w:p w:rsidR="00AB0A96" w:rsidRPr="00AB0A96" w:rsidRDefault="00AB0A96" w:rsidP="00AB0A96">
      <w:pPr>
        <w:numPr>
          <w:ilvl w:val="0"/>
          <w:numId w:val="49"/>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Plataformas de perfuração.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Exemplos activos de exploração intangíveis</w:t>
      </w:r>
    </w:p>
    <w:p w:rsidR="00AB0A96" w:rsidRDefault="00AB0A96" w:rsidP="00AB0A96">
      <w:pPr>
        <w:numPr>
          <w:ilvl w:val="0"/>
          <w:numId w:val="50"/>
        </w:numPr>
        <w:spacing w:before="100" w:beforeAutospacing="1" w:after="100" w:afterAutospacing="1" w:line="240" w:lineRule="auto"/>
        <w:ind w:left="345"/>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Direitos de perfuração. </w:t>
      </w:r>
    </w:p>
    <w:p w:rsidR="00F25306" w:rsidRPr="00AB0A96" w:rsidRDefault="00F25306" w:rsidP="00F25306">
      <w:pPr>
        <w:spacing w:before="100" w:beforeAutospacing="1" w:after="100" w:afterAutospacing="1" w:line="240" w:lineRule="auto"/>
        <w:ind w:left="345"/>
        <w:rPr>
          <w:rFonts w:ascii="Arial" w:eastAsia="Times New Roman" w:hAnsi="Arial" w:cs="Arial"/>
          <w:sz w:val="24"/>
          <w:szCs w:val="24"/>
          <w:lang w:eastAsia="pt-PT"/>
        </w:rPr>
      </w:pPr>
    </w:p>
    <w:p w:rsidR="00AB0A96" w:rsidRPr="00F25306" w:rsidRDefault="00AB0A96" w:rsidP="00AB0A96">
      <w:pPr>
        <w:spacing w:before="115" w:line="264" w:lineRule="auto"/>
        <w:outlineLvl w:val="2"/>
        <w:rPr>
          <w:rFonts w:ascii="Georgia" w:hAnsi="Georgia" w:cs="Arial"/>
          <w:color w:val="FF0000"/>
          <w:spacing w:val="-12"/>
          <w:sz w:val="40"/>
          <w:szCs w:val="42"/>
        </w:rPr>
      </w:pPr>
      <w:bookmarkStart w:id="18" w:name="_Toc290996393"/>
      <w:r w:rsidRPr="00F25306">
        <w:rPr>
          <w:rFonts w:ascii="Georgia" w:hAnsi="Georgia" w:cs="Arial"/>
          <w:color w:val="FF0000"/>
          <w:spacing w:val="-12"/>
          <w:sz w:val="40"/>
          <w:szCs w:val="42"/>
        </w:rPr>
        <w:t>NCRF 17 – Agricultura - Síntese, exemplos e comentários</w:t>
      </w:r>
      <w:bookmarkEnd w:id="18"/>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O objectivo da NCRF 17, agricultura, caracteriza os procedimentos contabilísticos a serem relevados perante uma actividade de natureza agrícola (correspondência com a IAS 41).</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O que é uma actividade de natureza agrícola?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Todos os processos em que se materialize a transformação de activos biológicos em produtos agrícolas ou em activos biológicos adicionais, detidos no sentido de posterior alienação (venda).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Exemplos:</w:t>
      </w:r>
    </w:p>
    <w:p w:rsidR="00AB0A96" w:rsidRPr="00AB0A96" w:rsidRDefault="00AB0A96" w:rsidP="00AB0A96">
      <w:pPr>
        <w:numPr>
          <w:ilvl w:val="0"/>
          <w:numId w:val="51"/>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Criação de gado; </w:t>
      </w:r>
    </w:p>
    <w:p w:rsidR="00AB0A96" w:rsidRPr="00AB0A96" w:rsidRDefault="00AB0A96" w:rsidP="00AB0A96">
      <w:pPr>
        <w:numPr>
          <w:ilvl w:val="0"/>
          <w:numId w:val="51"/>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Silvicultura; </w:t>
      </w:r>
    </w:p>
    <w:p w:rsidR="00AB0A96" w:rsidRPr="00AB0A96" w:rsidRDefault="00AB0A96" w:rsidP="00AB0A96">
      <w:pPr>
        <w:numPr>
          <w:ilvl w:val="0"/>
          <w:numId w:val="51"/>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Cultivo de pomares e plantações; </w:t>
      </w:r>
    </w:p>
    <w:p w:rsidR="00AB0A96" w:rsidRPr="00AB0A96" w:rsidRDefault="00AB0A96" w:rsidP="00AB0A96">
      <w:pPr>
        <w:numPr>
          <w:ilvl w:val="0"/>
          <w:numId w:val="51"/>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Floricultura e aquacultura (envolvendo a criação de peixes).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A presente norma aplica-se a:</w:t>
      </w:r>
    </w:p>
    <w:p w:rsidR="00AB0A96" w:rsidRPr="00AB0A96" w:rsidRDefault="00AB0A96" w:rsidP="00AB0A96">
      <w:pPr>
        <w:numPr>
          <w:ilvl w:val="0"/>
          <w:numId w:val="52"/>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Activos biológicos; </w:t>
      </w:r>
    </w:p>
    <w:p w:rsidR="00AB0A96" w:rsidRPr="00AB0A96" w:rsidRDefault="00AB0A96" w:rsidP="00AB0A96">
      <w:pPr>
        <w:numPr>
          <w:ilvl w:val="0"/>
          <w:numId w:val="52"/>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Produtos agrícolas preparados para colheita; </w:t>
      </w:r>
    </w:p>
    <w:p w:rsidR="00AB0A96" w:rsidRPr="00AB0A96" w:rsidRDefault="00AB0A96" w:rsidP="00AB0A96">
      <w:pPr>
        <w:numPr>
          <w:ilvl w:val="0"/>
          <w:numId w:val="52"/>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Subsídios governamentais, obtidos, relacionados com activos biológicos.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A NCRF 16 não é aplicada a terrenos detidos para exploração agrícola. Está também fora do âmbito da actual norma todo e qualquer trabalho desenvolvido após a colheita, como por exemplo a transformação de uvas em vinho.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lastRenderedPageBreak/>
        <w:t>Caracterização de produto agrícola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Considera-se produto agrícola, aquele produto colhido dos activos biológicos de determinada entidade, exclusivamente no momento da colheita. Posteriormente à colheita deve ser utilizada a NCRF inventários ou, outra que se considere aplicável.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Exemplos de activos biológicos e correspondentes produtos agrícolas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Denominam-se activos biológicos:</w:t>
      </w:r>
    </w:p>
    <w:p w:rsidR="00AB0A96" w:rsidRPr="00AB0A96" w:rsidRDefault="00AB0A96" w:rsidP="00AB0A96">
      <w:pPr>
        <w:numPr>
          <w:ilvl w:val="0"/>
          <w:numId w:val="53"/>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Árvores incluídas numa plantação florestal (o exemplo do produto agrícola extraído será os troncos); </w:t>
      </w:r>
    </w:p>
    <w:p w:rsidR="00AB0A96" w:rsidRPr="00AB0A96" w:rsidRDefault="00AB0A96" w:rsidP="00AB0A96">
      <w:pPr>
        <w:numPr>
          <w:ilvl w:val="0"/>
          <w:numId w:val="53"/>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Plantas (algodão); </w:t>
      </w:r>
    </w:p>
    <w:p w:rsidR="00AB0A96" w:rsidRPr="00AB0A96" w:rsidRDefault="00AB0A96" w:rsidP="00AB0A96">
      <w:pPr>
        <w:numPr>
          <w:ilvl w:val="0"/>
          <w:numId w:val="53"/>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Arbustos (folhas); </w:t>
      </w:r>
    </w:p>
    <w:p w:rsidR="00AB0A96" w:rsidRPr="00AB0A96" w:rsidRDefault="00AB0A96" w:rsidP="00AB0A96">
      <w:pPr>
        <w:numPr>
          <w:ilvl w:val="0"/>
          <w:numId w:val="53"/>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Árvores de fruto (frutos); </w:t>
      </w:r>
    </w:p>
    <w:p w:rsidR="00AB0A96" w:rsidRPr="00AB0A96" w:rsidRDefault="00AB0A96" w:rsidP="00AB0A96">
      <w:pPr>
        <w:numPr>
          <w:ilvl w:val="0"/>
          <w:numId w:val="53"/>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Vinhas (uvas); </w:t>
      </w:r>
    </w:p>
    <w:p w:rsidR="00AB0A96" w:rsidRPr="00AB0A96" w:rsidRDefault="00AB0A96" w:rsidP="00AB0A96">
      <w:pPr>
        <w:numPr>
          <w:ilvl w:val="0"/>
          <w:numId w:val="53"/>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Gado produtor de leite (leite); </w:t>
      </w:r>
    </w:p>
    <w:p w:rsidR="00AB0A96" w:rsidRPr="00AB0A96" w:rsidRDefault="00AB0A96" w:rsidP="00AB0A96">
      <w:pPr>
        <w:numPr>
          <w:ilvl w:val="0"/>
          <w:numId w:val="53"/>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Porcos; Carneiros; etc.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Portanto, activo biológico pode ser um animal ou qualquer planta, desde que estejam vivos.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Como registar os activos biológicos?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Os activos biológicos devem ser registados pelo seu justo valor, desde o primeiro registo até às reclassificações posteriores (a não ser que seja impossível apurar o justo valor do activo biológico).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Como se calcula o justo valor do gado, utilizado como activo biológico?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Neste caso o valor do gado é o valor de mercado do mesmo, deduzido dos eventuais custos necessários à deslocação do animal até ao seu potencial ponto de venda.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As despesas do ponto de venda incluem comissões pagas a correctores/negociadores, taxas de transferência e outros direitos.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Se existir um determinado mercado, regulado, onde poderá ser comercializado determinado activo biológico ou produto agrícola, o preço cotado nesse mercado é a base para a atribuição do justo valor. Se não existir mercado de transacção, a entidade deverá basear-se em informações de mercado ou sectoriais de últimas comercializações de activos/produtos iguais ou então idênticos.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Subsídios governamentais de apoio ao desenvolvimento de actividades agrícolas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Subsídios de apoio podem ser por exemplo os atribuídos pelo governo para que se cultive num local específico, ou os atribuídos para exploração de determinado produto ou activo biológico.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As entidades beneficiárias de subsídios devem divulgar a natureza dos mesmos, nas suas demonstrações financeiras, assim como discriminar cada grupo de activos biológicos detidos.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Notas finais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lastRenderedPageBreak/>
        <w:t>As simples actividades de pesca oceânica ou a florestação não são actividades de natureza agrícola.</w:t>
      </w:r>
    </w:p>
    <w:p w:rsidR="00AB0A96" w:rsidRDefault="00AB0A96" w:rsidP="00AB0A96">
      <w:pPr>
        <w:spacing w:before="58"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Esta actividade (agrícola) envolve um conjunto de medidas que incremente e acelere a possibilidade de transformação biológica ou que implique a melhoria da qualidade dos produtos agrícolas obtidos.</w:t>
      </w:r>
    </w:p>
    <w:p w:rsidR="00F25306" w:rsidRPr="00AB0A96" w:rsidRDefault="00F25306" w:rsidP="00AB0A96">
      <w:pPr>
        <w:spacing w:before="58" w:line="240" w:lineRule="auto"/>
        <w:jc w:val="both"/>
        <w:rPr>
          <w:rFonts w:ascii="Arial" w:eastAsia="Times New Roman" w:hAnsi="Arial" w:cs="Arial"/>
          <w:sz w:val="24"/>
          <w:szCs w:val="24"/>
          <w:lang w:eastAsia="pt-PT"/>
        </w:rPr>
      </w:pPr>
    </w:p>
    <w:p w:rsidR="00AB0A96" w:rsidRPr="00F25306" w:rsidRDefault="00AB0A96" w:rsidP="00AB0A96">
      <w:pPr>
        <w:spacing w:before="115" w:line="264" w:lineRule="auto"/>
        <w:outlineLvl w:val="2"/>
        <w:rPr>
          <w:rFonts w:ascii="Georgia" w:eastAsia="Times New Roman" w:hAnsi="Georgia" w:cs="Arial"/>
          <w:color w:val="FF0000"/>
          <w:spacing w:val="-12"/>
          <w:sz w:val="40"/>
          <w:szCs w:val="42"/>
          <w:lang w:eastAsia="pt-PT"/>
        </w:rPr>
      </w:pPr>
      <w:bookmarkStart w:id="19" w:name="_Toc290996394"/>
      <w:r w:rsidRPr="00F25306">
        <w:rPr>
          <w:rFonts w:ascii="Georgia" w:eastAsia="Times New Roman" w:hAnsi="Georgia" w:cs="Arial"/>
          <w:color w:val="FF0000"/>
          <w:spacing w:val="-12"/>
          <w:sz w:val="40"/>
          <w:szCs w:val="42"/>
          <w:lang w:eastAsia="pt-PT"/>
        </w:rPr>
        <w:t>NCRF 18 – Inventários - Síntese, exemplos e comentários</w:t>
      </w:r>
      <w:bookmarkEnd w:id="19"/>
      <w:r w:rsidRPr="00F25306">
        <w:rPr>
          <w:rFonts w:ascii="Georgia" w:eastAsia="Times New Roman" w:hAnsi="Georgia" w:cs="Arial"/>
          <w:color w:val="FF0000"/>
          <w:spacing w:val="-12"/>
          <w:sz w:val="40"/>
          <w:szCs w:val="42"/>
          <w:lang w:eastAsia="pt-PT"/>
        </w:rPr>
        <w:t xml:space="preserve"> </w:t>
      </w:r>
    </w:p>
    <w:p w:rsidR="00AB0A96" w:rsidRPr="00AB0A96" w:rsidRDefault="00AB0A96" w:rsidP="00AB0A96">
      <w:pPr>
        <w:spacing w:before="58" w:after="115" w:line="276" w:lineRule="atLeast"/>
        <w:jc w:val="both"/>
        <w:rPr>
          <w:rFonts w:ascii="Arial" w:eastAsia="Times New Roman" w:hAnsi="Arial" w:cs="Arial"/>
          <w:b/>
          <w:bCs/>
          <w:color w:val="444444"/>
          <w:sz w:val="21"/>
          <w:szCs w:val="21"/>
          <w:lang w:eastAsia="pt-PT"/>
        </w:rPr>
      </w:pPr>
      <w:r w:rsidRPr="00AB0A96">
        <w:rPr>
          <w:rFonts w:ascii="Arial" w:eastAsia="Times New Roman" w:hAnsi="Arial" w:cs="Arial"/>
          <w:b/>
          <w:bCs/>
          <w:color w:val="444444"/>
          <w:sz w:val="21"/>
          <w:szCs w:val="21"/>
          <w:lang w:eastAsia="pt-PT"/>
        </w:rPr>
        <w:t>A presente norma interpreta todo um conjunto de procedimentos a serem adoptados nos inventários e clarifica a fórmula de custeio que deve ser utilizada para afectar diferentes custos aos respectivos inventários.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Exclusões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Não estão incluídos no âmbito da norma "Inventários":</w:t>
      </w:r>
    </w:p>
    <w:p w:rsidR="00AB0A96" w:rsidRPr="00AB0A96" w:rsidRDefault="00AB0A96" w:rsidP="00AB0A96">
      <w:pPr>
        <w:numPr>
          <w:ilvl w:val="0"/>
          <w:numId w:val="54"/>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Produção em cursos afectos a contratos construção; </w:t>
      </w:r>
    </w:p>
    <w:p w:rsidR="00AB0A96" w:rsidRPr="00AB0A96" w:rsidRDefault="00AB0A96" w:rsidP="00AB0A96">
      <w:pPr>
        <w:numPr>
          <w:ilvl w:val="0"/>
          <w:numId w:val="54"/>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Instrumentos financeiros; e </w:t>
      </w:r>
    </w:p>
    <w:p w:rsidR="00AB0A96" w:rsidRPr="00AB0A96" w:rsidRDefault="00AB0A96" w:rsidP="00AB0A96">
      <w:pPr>
        <w:numPr>
          <w:ilvl w:val="0"/>
          <w:numId w:val="54"/>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Activos biológicos e subsequentes produtos agrícolas.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NCRF 18 tem como base correspondente a IAS 2 e engloba os seguintes activos:</w:t>
      </w:r>
    </w:p>
    <w:p w:rsidR="00AB0A96" w:rsidRPr="00AB0A96" w:rsidRDefault="00AB0A96" w:rsidP="00AB0A96">
      <w:pPr>
        <w:numPr>
          <w:ilvl w:val="0"/>
          <w:numId w:val="55"/>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Activos detidos para venda; </w:t>
      </w:r>
    </w:p>
    <w:p w:rsidR="00AB0A96" w:rsidRPr="00AB0A96" w:rsidRDefault="00AB0A96" w:rsidP="00AB0A96">
      <w:pPr>
        <w:numPr>
          <w:ilvl w:val="0"/>
          <w:numId w:val="55"/>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Activos em produção para posterior venda; </w:t>
      </w:r>
    </w:p>
    <w:p w:rsidR="00AB0A96" w:rsidRPr="00AB0A96" w:rsidRDefault="00AB0A96" w:rsidP="00AB0A96">
      <w:pPr>
        <w:numPr>
          <w:ilvl w:val="0"/>
          <w:numId w:val="55"/>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Materiais detidos para consumo no processo produtivo ou utilizados na prestação de serviços.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Registo inicial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De acordo com que já acontecia no plano oficial de contas (substituído pelo SNC), o registo inicial do activo incorpora os custos de aquisição, conversão e demais despesas necessárias para colocar os inventários aptos a comercialização e/ou produção, ou utilização.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Exemplos de custos de compra:</w:t>
      </w:r>
    </w:p>
    <w:p w:rsidR="00AB0A96" w:rsidRPr="00AB0A96" w:rsidRDefault="00AB0A96" w:rsidP="00AB0A96">
      <w:pPr>
        <w:numPr>
          <w:ilvl w:val="0"/>
          <w:numId w:val="56"/>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Incluem o preço de compra do bem; </w:t>
      </w:r>
    </w:p>
    <w:p w:rsidR="00AB0A96" w:rsidRPr="00AB0A96" w:rsidRDefault="00AB0A96" w:rsidP="00AB0A96">
      <w:pPr>
        <w:numPr>
          <w:ilvl w:val="0"/>
          <w:numId w:val="56"/>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Direitos de importação e outros impostos; </w:t>
      </w:r>
    </w:p>
    <w:p w:rsidR="00AB0A96" w:rsidRPr="00AB0A96" w:rsidRDefault="00AB0A96" w:rsidP="00AB0A96">
      <w:pPr>
        <w:numPr>
          <w:ilvl w:val="0"/>
          <w:numId w:val="56"/>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Custos de transporte; </w:t>
      </w:r>
    </w:p>
    <w:p w:rsidR="00AB0A96" w:rsidRPr="00AB0A96" w:rsidRDefault="00AB0A96" w:rsidP="00AB0A96">
      <w:pPr>
        <w:numPr>
          <w:ilvl w:val="0"/>
          <w:numId w:val="56"/>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Custos de manuseamento.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Exemplos de custos de conversão: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Os custos de conversão são aqueles que se relacionam com as unidades de produção e que delimitam a transformar matérias em produtos acabados (encargos gerais de fabrico fixos e variáveis).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Exemplos: electricidade; depreciação dos equipamentos produtivos.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lastRenderedPageBreak/>
        <w:t>Custos fixos Vs custos variáveis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 diferença entre custos fixos e variáveis resume-se pelo que enquanto os fixos não se alteram perante variações na produção, os custos variáveis estão dependentes dessas mesmas oscilações de produção.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Exemplos custos fixos: depreciações equipamentos e dos edifícios fabris; mão-de-obra; alugueres instalações.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Exemplos custos variáveis: Custos das matérias consumidas; electricidade.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Custos do produto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Relativamente ao nível de custeio a norma adopta o custeio industrial.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A adopção do nível de custeio industrial implica que os custos de distribuição, de administração e os financeiros não são incorporados nos custos do produto, mas sim imputados a custos do respectivo período.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Nomeadamente à técnica de custeio o SNC limita a utilização ao sistema de custeio racional. (o POC permitia a escolha entre o custeio total ou o custeio racional).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Custeio total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São imputados aos produtos fabricados todos os custos da área de produção, variáveis ou fixos.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Exemplo: imaginemos o seguinte quadro referente à função industrial de uma empresa.</w:t>
      </w:r>
    </w:p>
    <w:p w:rsidR="00AB0A96" w:rsidRPr="00AB0A96" w:rsidRDefault="00AB0A96" w:rsidP="00AB0A96">
      <w:pPr>
        <w:numPr>
          <w:ilvl w:val="0"/>
          <w:numId w:val="5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Fornecimentos e serviços externos da área produção: 7.500 euros; </w:t>
      </w:r>
    </w:p>
    <w:p w:rsidR="00AB0A96" w:rsidRPr="00AB0A96" w:rsidRDefault="00AB0A96" w:rsidP="00AB0A96">
      <w:pPr>
        <w:numPr>
          <w:ilvl w:val="0"/>
          <w:numId w:val="5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Custos com pessoal (produção): 11.000 euros; </w:t>
      </w:r>
    </w:p>
    <w:p w:rsidR="00AB0A96" w:rsidRPr="00AB0A96" w:rsidRDefault="00AB0A96" w:rsidP="00AB0A96">
      <w:pPr>
        <w:numPr>
          <w:ilvl w:val="0"/>
          <w:numId w:val="5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Depreciações equipamentos produtivos: 2.000 euros. </w:t>
      </w:r>
    </w:p>
    <w:p w:rsidR="00AB0A96" w:rsidRPr="00AB0A96" w:rsidRDefault="00AB0A96" w:rsidP="00AB0A96">
      <w:pPr>
        <w:numPr>
          <w:ilvl w:val="0"/>
          <w:numId w:val="5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Consumo das matérias-primas: 6.000 euros; </w:t>
      </w:r>
    </w:p>
    <w:p w:rsidR="00AB0A96" w:rsidRPr="00AB0A96" w:rsidRDefault="00AB0A96" w:rsidP="00AB0A96">
      <w:pPr>
        <w:numPr>
          <w:ilvl w:val="0"/>
          <w:numId w:val="57"/>
        </w:numPr>
        <w:spacing w:before="100" w:beforeAutospacing="1" w:after="100" w:afterAutospacing="1" w:line="240" w:lineRule="auto"/>
        <w:ind w:left="489"/>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Nº. Unidades produzidas 10.000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Custo dos produtos fabricados = 6.000 (matérias primas) + 20.500 (FSE + MOD directa produção + depreciações)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Custo unitários = 2,65 euros/ unidade (26.500 euros / 10.000).</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repare-se que não tida em conta a separação de custos fixos e variáveis.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Custeio variável (directo)</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Apenas são incorporados os custos variáveis.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Custos industriais variáveis:</w:t>
      </w:r>
    </w:p>
    <w:p w:rsidR="00AB0A96" w:rsidRPr="00AB0A96" w:rsidRDefault="00AB0A96" w:rsidP="00AB0A96">
      <w:pPr>
        <w:numPr>
          <w:ilvl w:val="0"/>
          <w:numId w:val="58"/>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Matéria-prima: 6.000 euros; </w:t>
      </w:r>
    </w:p>
    <w:p w:rsidR="00AB0A96" w:rsidRPr="00AB0A96" w:rsidRDefault="00AB0A96" w:rsidP="00AB0A96">
      <w:pPr>
        <w:numPr>
          <w:ilvl w:val="0"/>
          <w:numId w:val="58"/>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Mão-de-obra directa 2.500 euros </w:t>
      </w:r>
    </w:p>
    <w:p w:rsidR="00AB0A96" w:rsidRPr="00AB0A96" w:rsidRDefault="00AB0A96" w:rsidP="00AB0A96">
      <w:pPr>
        <w:numPr>
          <w:ilvl w:val="0"/>
          <w:numId w:val="58"/>
        </w:numPr>
        <w:spacing w:before="100" w:beforeAutospacing="1" w:after="100" w:afterAutospacing="1" w:line="240" w:lineRule="auto"/>
        <w:ind w:left="489"/>
        <w:rPr>
          <w:rFonts w:ascii="Arial" w:eastAsia="Times New Roman" w:hAnsi="Arial" w:cs="Arial"/>
          <w:sz w:val="24"/>
          <w:szCs w:val="24"/>
          <w:lang w:eastAsia="pt-PT"/>
        </w:rPr>
      </w:pPr>
      <w:r w:rsidRPr="00AB0A96">
        <w:rPr>
          <w:rFonts w:ascii="Arial" w:eastAsia="Times New Roman" w:hAnsi="Arial" w:cs="Arial"/>
          <w:sz w:val="24"/>
          <w:szCs w:val="24"/>
          <w:lang w:eastAsia="pt-PT"/>
        </w:rPr>
        <w:t xml:space="preserve">Fornecimentos e serviços externos 1.500 euros.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Custo dos produtos fabricados = 6.000 + 2.500 +1.500 = 10.000 euros.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Unidades produzidas: 10.000</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Custo unitários = 1,00 euros/ unidade (10.000 / 10.000)</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lastRenderedPageBreak/>
        <w:t>Nota: repare-se que apenas se considerou os custos variáveis. Os custos fixos vão directamente a resultados.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Custeio racional</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 custeio racional implica afectar os custos fixos na proporção das unidades produzidas em função da capacidade produtiva. Ou seja,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Custo matérias-primas: 6.000</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Custo mão obra directa (variável) = 2.500</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Fornecimentos e serviços externos variáveis: 1.500</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Nº. Unidades produzidas: 10.000</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Capacidade produtiva: 12.000</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 Custos fixos a imputar = 10.000 / 12.000 = 83,3 %</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Custo unitário = 6.000+ 2.500+ 1.500 + (83,3% * (7500-1500 + 11.000-2.500 + 2.000) = 23.750 euros / 10.000 =2.375 euros / unidade.</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o remanescente dos custos fixos é imputado a resultados.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Registos subsequentes inventários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Posteriormente os inventários são registados pelo menor entre o custo e o valor realizável. (valor de venda).</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Valorimetria das saídas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Os critérios valorimétricos permitidos são o custo específico; o custo médio ponderado e o FIFO (</w:t>
      </w:r>
      <w:proofErr w:type="spellStart"/>
      <w:r w:rsidRPr="00AB0A96">
        <w:rPr>
          <w:rFonts w:ascii="Arial" w:eastAsia="Times New Roman" w:hAnsi="Arial" w:cs="Arial"/>
          <w:sz w:val="24"/>
          <w:szCs w:val="24"/>
          <w:lang w:eastAsia="pt-PT"/>
        </w:rPr>
        <w:t>first</w:t>
      </w:r>
      <w:proofErr w:type="spellEnd"/>
      <w:r w:rsidRPr="00AB0A96">
        <w:rPr>
          <w:rFonts w:ascii="Arial" w:eastAsia="Times New Roman" w:hAnsi="Arial" w:cs="Arial"/>
          <w:sz w:val="24"/>
          <w:szCs w:val="24"/>
          <w:lang w:eastAsia="pt-PT"/>
        </w:rPr>
        <w:t xml:space="preserve"> </w:t>
      </w:r>
      <w:proofErr w:type="spellStart"/>
      <w:r w:rsidRPr="00AB0A96">
        <w:rPr>
          <w:rFonts w:ascii="Arial" w:eastAsia="Times New Roman" w:hAnsi="Arial" w:cs="Arial"/>
          <w:sz w:val="24"/>
          <w:szCs w:val="24"/>
          <w:lang w:eastAsia="pt-PT"/>
        </w:rPr>
        <w:t>in</w:t>
      </w:r>
      <w:proofErr w:type="spellEnd"/>
      <w:r w:rsidRPr="00AB0A96">
        <w:rPr>
          <w:rFonts w:ascii="Arial" w:eastAsia="Times New Roman" w:hAnsi="Arial" w:cs="Arial"/>
          <w:sz w:val="24"/>
          <w:szCs w:val="24"/>
          <w:lang w:eastAsia="pt-PT"/>
        </w:rPr>
        <w:t xml:space="preserve"> </w:t>
      </w:r>
      <w:proofErr w:type="spellStart"/>
      <w:r w:rsidRPr="00AB0A96">
        <w:rPr>
          <w:rFonts w:ascii="Arial" w:eastAsia="Times New Roman" w:hAnsi="Arial" w:cs="Arial"/>
          <w:sz w:val="24"/>
          <w:szCs w:val="24"/>
          <w:lang w:eastAsia="pt-PT"/>
        </w:rPr>
        <w:t>first</w:t>
      </w:r>
      <w:proofErr w:type="spellEnd"/>
      <w:r w:rsidRPr="00AB0A96">
        <w:rPr>
          <w:rFonts w:ascii="Arial" w:eastAsia="Times New Roman" w:hAnsi="Arial" w:cs="Arial"/>
          <w:sz w:val="24"/>
          <w:szCs w:val="24"/>
          <w:lang w:eastAsia="pt-PT"/>
        </w:rPr>
        <w:t xml:space="preserve"> </w:t>
      </w:r>
      <w:proofErr w:type="spellStart"/>
      <w:r w:rsidRPr="00AB0A96">
        <w:rPr>
          <w:rFonts w:ascii="Arial" w:eastAsia="Times New Roman" w:hAnsi="Arial" w:cs="Arial"/>
          <w:sz w:val="24"/>
          <w:szCs w:val="24"/>
          <w:lang w:eastAsia="pt-PT"/>
        </w:rPr>
        <w:t>out</w:t>
      </w:r>
      <w:proofErr w:type="spellEnd"/>
      <w:r w:rsidRPr="00AB0A96">
        <w:rPr>
          <w:rFonts w:ascii="Arial" w:eastAsia="Times New Roman" w:hAnsi="Arial" w:cs="Arial"/>
          <w:sz w:val="24"/>
          <w:szCs w:val="24"/>
          <w:lang w:eastAsia="pt-PT"/>
        </w:rPr>
        <w:t>).</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Importante denotar que o SNC deixa de permitir o uso do critério LIFO (</w:t>
      </w:r>
      <w:proofErr w:type="spellStart"/>
      <w:r w:rsidRPr="00AB0A96">
        <w:rPr>
          <w:rFonts w:ascii="Arial" w:eastAsia="Times New Roman" w:hAnsi="Arial" w:cs="Arial"/>
          <w:sz w:val="24"/>
          <w:szCs w:val="24"/>
          <w:lang w:eastAsia="pt-PT"/>
        </w:rPr>
        <w:t>last</w:t>
      </w:r>
      <w:proofErr w:type="spellEnd"/>
      <w:r w:rsidRPr="00AB0A96">
        <w:rPr>
          <w:rFonts w:ascii="Arial" w:eastAsia="Times New Roman" w:hAnsi="Arial" w:cs="Arial"/>
          <w:sz w:val="24"/>
          <w:szCs w:val="24"/>
          <w:lang w:eastAsia="pt-PT"/>
        </w:rPr>
        <w:t xml:space="preserve"> </w:t>
      </w:r>
      <w:proofErr w:type="spellStart"/>
      <w:r w:rsidRPr="00AB0A96">
        <w:rPr>
          <w:rFonts w:ascii="Arial" w:eastAsia="Times New Roman" w:hAnsi="Arial" w:cs="Arial"/>
          <w:sz w:val="24"/>
          <w:szCs w:val="24"/>
          <w:lang w:eastAsia="pt-PT"/>
        </w:rPr>
        <w:t>in</w:t>
      </w:r>
      <w:proofErr w:type="spellEnd"/>
      <w:r w:rsidRPr="00AB0A96">
        <w:rPr>
          <w:rFonts w:ascii="Arial" w:eastAsia="Times New Roman" w:hAnsi="Arial" w:cs="Arial"/>
          <w:sz w:val="24"/>
          <w:szCs w:val="24"/>
          <w:lang w:eastAsia="pt-PT"/>
        </w:rPr>
        <w:t xml:space="preserve"> </w:t>
      </w:r>
      <w:proofErr w:type="spellStart"/>
      <w:r w:rsidRPr="00AB0A96">
        <w:rPr>
          <w:rFonts w:ascii="Arial" w:eastAsia="Times New Roman" w:hAnsi="Arial" w:cs="Arial"/>
          <w:sz w:val="24"/>
          <w:szCs w:val="24"/>
          <w:lang w:eastAsia="pt-PT"/>
        </w:rPr>
        <w:t>first</w:t>
      </w:r>
      <w:proofErr w:type="spellEnd"/>
      <w:r w:rsidRPr="00AB0A96">
        <w:rPr>
          <w:rFonts w:ascii="Arial" w:eastAsia="Times New Roman" w:hAnsi="Arial" w:cs="Arial"/>
          <w:sz w:val="24"/>
          <w:szCs w:val="24"/>
          <w:lang w:eastAsia="pt-PT"/>
        </w:rPr>
        <w:t xml:space="preserve"> </w:t>
      </w:r>
      <w:proofErr w:type="spellStart"/>
      <w:r w:rsidRPr="00AB0A96">
        <w:rPr>
          <w:rFonts w:ascii="Arial" w:eastAsia="Times New Roman" w:hAnsi="Arial" w:cs="Arial"/>
          <w:sz w:val="24"/>
          <w:szCs w:val="24"/>
          <w:lang w:eastAsia="pt-PT"/>
        </w:rPr>
        <w:t>out</w:t>
      </w:r>
      <w:proofErr w:type="spellEnd"/>
      <w:r w:rsidRPr="00AB0A96">
        <w:rPr>
          <w:rFonts w:ascii="Arial" w:eastAsia="Times New Roman" w:hAnsi="Arial" w:cs="Arial"/>
          <w:sz w:val="24"/>
          <w:szCs w:val="24"/>
          <w:lang w:eastAsia="pt-PT"/>
        </w:rPr>
        <w:t>). (ultimo a entrar, primeiro a sair).</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Nota: Os critérios valorimétricos devem ser aplicados por grupos de existências de natureza e uso similar, ou seja, não deve determinada empresa adoptar o FIFO para o produto A e o custo médio ponderado para o produto B. (se A e B são produtos idênticos).</w:t>
      </w:r>
    </w:p>
    <w:p w:rsidR="00AB0A96" w:rsidRPr="00AB0A96" w:rsidRDefault="00AB0A96" w:rsidP="00AB0A96">
      <w:pPr>
        <w:spacing w:before="58" w:after="115" w:line="240" w:lineRule="auto"/>
        <w:jc w:val="both"/>
        <w:rPr>
          <w:rFonts w:ascii="Arial" w:eastAsia="Times New Roman" w:hAnsi="Arial" w:cs="Arial"/>
          <w:sz w:val="24"/>
          <w:szCs w:val="24"/>
          <w:lang w:eastAsia="pt-PT"/>
        </w:rPr>
      </w:pPr>
      <w:r w:rsidRPr="00AB0A96">
        <w:rPr>
          <w:rFonts w:ascii="Arial" w:eastAsia="Times New Roman" w:hAnsi="Arial" w:cs="Arial"/>
          <w:b/>
          <w:bCs/>
          <w:sz w:val="24"/>
          <w:szCs w:val="24"/>
          <w:lang w:eastAsia="pt-PT"/>
        </w:rPr>
        <w:t>Notas finais</w:t>
      </w:r>
    </w:p>
    <w:p w:rsidR="00AB0A96" w:rsidRDefault="00AB0A96" w:rsidP="00AB0A96">
      <w:pPr>
        <w:spacing w:before="58" w:line="240" w:lineRule="auto"/>
        <w:jc w:val="both"/>
        <w:rPr>
          <w:rFonts w:ascii="Arial" w:eastAsia="Times New Roman" w:hAnsi="Arial" w:cs="Arial"/>
          <w:sz w:val="24"/>
          <w:szCs w:val="24"/>
          <w:lang w:eastAsia="pt-PT"/>
        </w:rPr>
      </w:pPr>
      <w:r w:rsidRPr="00AB0A96">
        <w:rPr>
          <w:rFonts w:ascii="Arial" w:eastAsia="Times New Roman" w:hAnsi="Arial" w:cs="Arial"/>
          <w:sz w:val="24"/>
          <w:szCs w:val="24"/>
          <w:lang w:eastAsia="pt-PT"/>
        </w:rPr>
        <w:t>O SNC relativamente aos inventários descreve algumas alterações ao "substituído" POC. Especialmente na forma de afectação dos custos fixos aos inventários e, também na valorização das saídas dos produtos.</w:t>
      </w:r>
    </w:p>
    <w:p w:rsidR="00F25306" w:rsidRPr="00AB0A96" w:rsidRDefault="00F25306" w:rsidP="00AB0A96">
      <w:pPr>
        <w:spacing w:before="58" w:line="240" w:lineRule="auto"/>
        <w:jc w:val="both"/>
        <w:rPr>
          <w:rFonts w:ascii="Arial" w:eastAsia="Times New Roman" w:hAnsi="Arial" w:cs="Arial"/>
          <w:sz w:val="24"/>
          <w:szCs w:val="24"/>
          <w:lang w:eastAsia="pt-PT"/>
        </w:rPr>
      </w:pPr>
    </w:p>
    <w:p w:rsidR="00AB0A96" w:rsidRPr="00F25306" w:rsidRDefault="00AB0A96" w:rsidP="00AB0A96">
      <w:pPr>
        <w:spacing w:before="115" w:line="264" w:lineRule="auto"/>
        <w:outlineLvl w:val="2"/>
        <w:rPr>
          <w:rFonts w:ascii="Georgia" w:hAnsi="Georgia" w:cs="Arial"/>
          <w:color w:val="FF0000"/>
          <w:spacing w:val="-12"/>
          <w:sz w:val="40"/>
          <w:szCs w:val="42"/>
        </w:rPr>
      </w:pPr>
      <w:bookmarkStart w:id="20" w:name="_Toc290996395"/>
      <w:r w:rsidRPr="00F25306">
        <w:rPr>
          <w:rFonts w:ascii="Georgia" w:hAnsi="Georgia" w:cs="Arial"/>
          <w:color w:val="FF0000"/>
          <w:spacing w:val="-12"/>
          <w:sz w:val="40"/>
          <w:szCs w:val="42"/>
        </w:rPr>
        <w:t>NCRF 19 – Contratos de construção - Síntese, exemplos e comentários</w:t>
      </w:r>
      <w:bookmarkEnd w:id="20"/>
    </w:p>
    <w:p w:rsidR="003053E7" w:rsidRPr="003053E7" w:rsidRDefault="003053E7" w:rsidP="003053E7">
      <w:pPr>
        <w:spacing w:before="58" w:after="115" w:line="276" w:lineRule="atLeast"/>
        <w:jc w:val="both"/>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A norma que define os contratos de construção fundamenta-se na IAS 11, e contempla os contratos especificamente negociados para a construção de um ou mais activos. (desde que esse conjunto de activos resultem de uma relação de concepção, tecnologia, função ou utilização, semelhante.</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Diferentes tipos de contrato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Os contratos de construção podem ser de dois tipos:</w:t>
      </w:r>
    </w:p>
    <w:p w:rsidR="003053E7" w:rsidRPr="003053E7" w:rsidRDefault="003053E7" w:rsidP="003053E7">
      <w:pPr>
        <w:numPr>
          <w:ilvl w:val="0"/>
          <w:numId w:val="5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Com preço previamente fixado (preço final estipulado no contrato ou preço fixo por cada unidade de construção); ou </w:t>
      </w:r>
    </w:p>
    <w:p w:rsidR="003053E7" w:rsidRPr="003053E7" w:rsidRDefault="003053E7" w:rsidP="003053E7">
      <w:pPr>
        <w:numPr>
          <w:ilvl w:val="0"/>
          <w:numId w:val="5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De preço em função dos custos. (adiciona-se uma quantia fixa ou percentagem aos custos ocorridos no contrato.)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Que tipos de custos relevam como custos do contrato de construção?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São imputados todos os custos com relação directa ao contrato, como por exemplo:</w:t>
      </w:r>
    </w:p>
    <w:p w:rsidR="003053E7" w:rsidRPr="003053E7" w:rsidRDefault="003053E7" w:rsidP="003053E7">
      <w:pPr>
        <w:numPr>
          <w:ilvl w:val="0"/>
          <w:numId w:val="60"/>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Custo das matérias consumidas; </w:t>
      </w:r>
    </w:p>
    <w:p w:rsidR="003053E7" w:rsidRPr="003053E7" w:rsidRDefault="003053E7" w:rsidP="003053E7">
      <w:pPr>
        <w:numPr>
          <w:ilvl w:val="0"/>
          <w:numId w:val="60"/>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Depreciações equipamentos utilizados; </w:t>
      </w:r>
    </w:p>
    <w:p w:rsidR="003053E7" w:rsidRPr="003053E7" w:rsidRDefault="003053E7" w:rsidP="003053E7">
      <w:pPr>
        <w:numPr>
          <w:ilvl w:val="0"/>
          <w:numId w:val="60"/>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Mão-de-obra; </w:t>
      </w:r>
    </w:p>
    <w:p w:rsidR="003053E7" w:rsidRPr="003053E7" w:rsidRDefault="003053E7" w:rsidP="003053E7">
      <w:pPr>
        <w:numPr>
          <w:ilvl w:val="0"/>
          <w:numId w:val="60"/>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Assistência técnica; </w:t>
      </w:r>
    </w:p>
    <w:p w:rsidR="003053E7" w:rsidRPr="003053E7" w:rsidRDefault="003053E7" w:rsidP="003053E7">
      <w:pPr>
        <w:numPr>
          <w:ilvl w:val="0"/>
          <w:numId w:val="60"/>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Seguros </w:t>
      </w:r>
    </w:p>
    <w:p w:rsidR="003053E7" w:rsidRPr="003053E7" w:rsidRDefault="003053E7" w:rsidP="003053E7">
      <w:pPr>
        <w:numPr>
          <w:ilvl w:val="0"/>
          <w:numId w:val="60"/>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Demais gastos gerais de construção.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Nota: a IAS 23 permite, em certas situações, que os custos dos empréstimos obtidos inerentes à construção de um activo possam ser considerados como custo desse mesmo activo.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Como e quando se reconhece os proveitos e gastos relacionados com os contratos de construção?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Existem dois métodos para o reconhecimento dos proveitos e gastos de um contrato de construção:</w:t>
      </w:r>
    </w:p>
    <w:p w:rsidR="003053E7" w:rsidRPr="003053E7" w:rsidRDefault="003053E7" w:rsidP="003053E7">
      <w:pPr>
        <w:numPr>
          <w:ilvl w:val="0"/>
          <w:numId w:val="61"/>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Método da percentagem de acabamento; ou </w:t>
      </w:r>
    </w:p>
    <w:p w:rsidR="003053E7" w:rsidRPr="003053E7" w:rsidRDefault="003053E7" w:rsidP="003053E7">
      <w:pPr>
        <w:numPr>
          <w:ilvl w:val="0"/>
          <w:numId w:val="61"/>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Método do lucro nulo.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 método da percentagem de acabamento deve ser utilizado quando os proveitos de determinado contrato possam ser </w:t>
      </w:r>
      <w:proofErr w:type="spellStart"/>
      <w:r w:rsidRPr="003053E7">
        <w:rPr>
          <w:rFonts w:ascii="Arial" w:eastAsia="Times New Roman" w:hAnsi="Arial" w:cs="Arial"/>
          <w:sz w:val="24"/>
          <w:szCs w:val="24"/>
          <w:lang w:eastAsia="pt-PT"/>
        </w:rPr>
        <w:t>fiavelmente</w:t>
      </w:r>
      <w:proofErr w:type="spellEnd"/>
      <w:r w:rsidRPr="003053E7">
        <w:rPr>
          <w:rFonts w:ascii="Arial" w:eastAsia="Times New Roman" w:hAnsi="Arial" w:cs="Arial"/>
          <w:sz w:val="24"/>
          <w:szCs w:val="24"/>
          <w:lang w:eastAsia="pt-PT"/>
        </w:rPr>
        <w:t xml:space="preserve"> antecipados e correctamente calculados antes do final desse mesmo contrato (quando existe preço fixado).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Se o contrato não for delineado com preço previamente acordado, continua a ser possível a adopção do método da percentagem de acabamento se os custos adjudicados ao contrato forem nitidamente reconhecidos.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Sempre que não exista certeza das condições supra evidenciados, as entidades devem escolher o método do lucro nulo.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Caracterização do método da percentagem de acabamento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 grau de acabamento de um contrato de construção pode ser calculado, pelo quociente entre os custos já incorridos com os custos estimados totais até à conclusão do contrato, com base no método do trabalho já executado ou com apoio nas unidades de trabalho já concluído.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Normalmente utiliza-se a seguinte fórmula: Custos incorridos / Custos totais (incorridos mais os estimados até ao final da obra).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Exemplo: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A empresa X estabeleceu um contrato por 175.000 euros, para a construção de um pavilhão desportivo. O custo estimado para a conclusão foi de 100.000 euros. A duração de construção estima-se em dois anos.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 final do primeiro ano, os custos incorridos ascendiam a 37.000 euros. Qual o grau de acabamento no primeiro ano? Qual o proveito a reconhecer?</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Acabamento = 37.000/ 100.000 = 37%</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Proveito a reconhecer = 37% dos 175.000 = 64.750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Método do lucro nulo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Os custos são reconhecidos no período em que ocorrem e os proveitos são considerados na quantia exacta dos custos. (lucro nulo). Os lucros são diferidos para o final do contrato.</w:t>
      </w:r>
    </w:p>
    <w:p w:rsid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Notas finais: a norma exige que as entidades divulguem os métodos adoptados para determinar o grau de acabamento e do redito, bem como a quantia dos custos já absorvidos e eventuais adiantamentos recebidos por conta da construção.</w:t>
      </w:r>
    </w:p>
    <w:p w:rsidR="00F25306" w:rsidRPr="003053E7" w:rsidRDefault="00F25306" w:rsidP="003053E7">
      <w:pPr>
        <w:spacing w:before="58" w:line="240" w:lineRule="auto"/>
        <w:jc w:val="both"/>
        <w:rPr>
          <w:rFonts w:ascii="Arial" w:eastAsia="Times New Roman" w:hAnsi="Arial" w:cs="Arial"/>
          <w:sz w:val="24"/>
          <w:szCs w:val="24"/>
          <w:lang w:eastAsia="pt-PT"/>
        </w:rPr>
      </w:pPr>
    </w:p>
    <w:p w:rsidR="003053E7" w:rsidRPr="00F25306" w:rsidRDefault="003053E7" w:rsidP="003053E7">
      <w:pPr>
        <w:spacing w:before="115" w:line="264" w:lineRule="auto"/>
        <w:outlineLvl w:val="2"/>
        <w:rPr>
          <w:rFonts w:ascii="Georgia" w:eastAsia="Times New Roman" w:hAnsi="Georgia" w:cs="Arial"/>
          <w:color w:val="FF0000"/>
          <w:spacing w:val="-12"/>
          <w:sz w:val="40"/>
          <w:szCs w:val="42"/>
          <w:lang w:eastAsia="pt-PT"/>
        </w:rPr>
      </w:pPr>
      <w:bookmarkStart w:id="21" w:name="_Toc290996396"/>
      <w:r w:rsidRPr="00F25306">
        <w:rPr>
          <w:rFonts w:ascii="Georgia" w:eastAsia="Times New Roman" w:hAnsi="Georgia" w:cs="Arial"/>
          <w:color w:val="FF0000"/>
          <w:spacing w:val="-12"/>
          <w:sz w:val="40"/>
          <w:szCs w:val="42"/>
          <w:lang w:eastAsia="pt-PT"/>
        </w:rPr>
        <w:t>NCRF 20 – Rédito - Síntese, exemplos e comentários</w:t>
      </w:r>
      <w:bookmarkEnd w:id="21"/>
      <w:r w:rsidRPr="00F25306">
        <w:rPr>
          <w:rFonts w:ascii="Georgia" w:eastAsia="Times New Roman" w:hAnsi="Georgia" w:cs="Arial"/>
          <w:color w:val="FF0000"/>
          <w:spacing w:val="-12"/>
          <w:sz w:val="40"/>
          <w:szCs w:val="42"/>
          <w:lang w:eastAsia="pt-PT"/>
        </w:rPr>
        <w:t xml:space="preserve"> </w:t>
      </w:r>
    </w:p>
    <w:p w:rsidR="003053E7" w:rsidRPr="003053E7" w:rsidRDefault="003053E7" w:rsidP="003053E7">
      <w:pPr>
        <w:spacing w:before="58" w:after="115" w:line="276" w:lineRule="atLeast"/>
        <w:jc w:val="both"/>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O objectivo da NCRF 20 – Rédito resume-se no conjunto de medidas tempestivas e tácitas relativas, quer ao tratamento contabilístico dos réditos, quer ao momento do seu reconhecimento.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Os réditos surgem dos rendimentos obtidos no decurso de determinadas actividades, como:</w:t>
      </w:r>
    </w:p>
    <w:p w:rsidR="003053E7" w:rsidRPr="003053E7" w:rsidRDefault="003053E7" w:rsidP="003053E7">
      <w:pPr>
        <w:numPr>
          <w:ilvl w:val="0"/>
          <w:numId w:val="6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Vendas de bens; serviços prestados; </w:t>
      </w:r>
    </w:p>
    <w:p w:rsidR="003053E7" w:rsidRPr="003053E7" w:rsidRDefault="003053E7" w:rsidP="003053E7">
      <w:pPr>
        <w:numPr>
          <w:ilvl w:val="0"/>
          <w:numId w:val="6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Honorários por serviços prestados; </w:t>
      </w:r>
    </w:p>
    <w:p w:rsidR="003053E7" w:rsidRPr="003053E7" w:rsidRDefault="003053E7" w:rsidP="003053E7">
      <w:pPr>
        <w:numPr>
          <w:ilvl w:val="0"/>
          <w:numId w:val="6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Juros; </w:t>
      </w:r>
    </w:p>
    <w:p w:rsidR="003053E7" w:rsidRPr="003053E7" w:rsidRDefault="003053E7" w:rsidP="003053E7">
      <w:pPr>
        <w:numPr>
          <w:ilvl w:val="0"/>
          <w:numId w:val="6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Dividendos; </w:t>
      </w:r>
    </w:p>
    <w:p w:rsidR="003053E7" w:rsidRPr="003053E7" w:rsidRDefault="003053E7" w:rsidP="003053E7">
      <w:pPr>
        <w:numPr>
          <w:ilvl w:val="0"/>
          <w:numId w:val="6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Royalties.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Nota: Os réditos apenas devem ser reconhecidos no momento em que possam ser fielmente "medidos" e quando for plausível, ainda que no futuro, o acréscimo de benefícios económicos.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Mensuração rédito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 rédito é a quantia em dinheiro (ou equivalente) recebida ou a receber como contrapartida das actividades desenvolvidas (vendas; juros etc.).</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Observações</w:t>
      </w:r>
    </w:p>
    <w:p w:rsidR="003053E7" w:rsidRPr="003053E7" w:rsidRDefault="003053E7" w:rsidP="003053E7">
      <w:pPr>
        <w:numPr>
          <w:ilvl w:val="0"/>
          <w:numId w:val="63"/>
        </w:numPr>
        <w:spacing w:before="100" w:beforeAutospacing="1" w:after="100" w:afterAutospacing="1" w:line="240" w:lineRule="auto"/>
        <w:ind w:left="950"/>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Sempre que as quantias de dinheiro a receber forem diferidas, o justo valor da retribuição pode ser inferior ao valor posteriormente recebido ou a receber; </w:t>
      </w:r>
    </w:p>
    <w:p w:rsidR="003053E7" w:rsidRPr="003053E7" w:rsidRDefault="003053E7" w:rsidP="003053E7">
      <w:pPr>
        <w:numPr>
          <w:ilvl w:val="0"/>
          <w:numId w:val="63"/>
        </w:numPr>
        <w:spacing w:before="100" w:beforeAutospacing="1" w:after="100" w:afterAutospacing="1" w:line="240" w:lineRule="auto"/>
        <w:ind w:left="950"/>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 xml:space="preserve">Quando se está na presença de uma operação de financiamento, o justo valor da retribuição é calculado pela técnica do valor presente, ou seja, os recebimentos futuros devem ser actualizados segundo uma taxa de juro imputada (taxa actualização = representa o custo de oportunidade).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Exemplo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empresa A remodelou um apartamento a B por 75.000 euros. A liquidação será 50% na adjudicação dos trabalhos; 50% após 2 anos (data prevista para a conclusão dos trabalhos). Taxa juro negociada: 5% (ano).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Momento inicial da adjudicação: 50% dos 75.000 euros = 37.500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Actualização dos valores futuros.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Daqui a 2 anos o valor a receber será de 37.500 euros! Mas quanto vale agora esse recebimento futuro?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Se daqui a 2 anos vale 37.500 euros: actualizado ao momento 1 valerá: 37.500/ (1+5%) ^1 = 35.714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Actualizado ao momento inicial vale: 35.714 / (1+5%) ^1 = 34.013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Total = 37.500 euros do momento inicial + 34.013 (valor actualizado) = 71.513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Rédito diferido: 75.000 – 71.513 = 3.487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Rédito diferido momento 1 = 37.500-35.714 = 1.786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Rédito juros: 3.487-1.786 = 1.701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Contabilização momento adjudicação: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conta clientes: 75.000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da conta diferimentos: 3.487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conta vendas: 71.513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Contabilização dos juros ocorridos após o 1.º ano: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conta diferimentos: 1.701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da conta juros: 1.701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Contabilização no segundo ano: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conta diferimentos: 1.786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da conta juros: 1.786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Notas finais</w:t>
      </w:r>
    </w:p>
    <w:p w:rsid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As entidades obrigadas a adoptar a presente norma devem, nas demonstrações financeiras, divulgar quais as políticas adoptadas no reconhecimento dos seus réditos e caracterizar por respectivas classes, isto é, se o rédito provém da venda de bens; da prestação de serviços, de juros, etc.</w:t>
      </w:r>
    </w:p>
    <w:p w:rsidR="00F25306" w:rsidRPr="003053E7" w:rsidRDefault="00F25306" w:rsidP="003053E7">
      <w:pPr>
        <w:spacing w:before="58" w:line="240" w:lineRule="auto"/>
        <w:jc w:val="both"/>
        <w:rPr>
          <w:rFonts w:ascii="Arial" w:eastAsia="Times New Roman" w:hAnsi="Arial" w:cs="Arial"/>
          <w:sz w:val="24"/>
          <w:szCs w:val="24"/>
          <w:lang w:eastAsia="pt-PT"/>
        </w:rPr>
      </w:pPr>
    </w:p>
    <w:p w:rsidR="003053E7" w:rsidRDefault="003053E7" w:rsidP="00AB0A96">
      <w:pPr>
        <w:spacing w:before="115" w:line="264" w:lineRule="auto"/>
        <w:outlineLvl w:val="2"/>
        <w:rPr>
          <w:rFonts w:ascii="Georgia" w:hAnsi="Georgia" w:cs="Arial"/>
          <w:color w:val="FF0000"/>
          <w:spacing w:val="-12"/>
          <w:sz w:val="42"/>
          <w:szCs w:val="42"/>
        </w:rPr>
      </w:pPr>
      <w:bookmarkStart w:id="22" w:name="_Toc290996397"/>
      <w:r w:rsidRPr="003053E7">
        <w:rPr>
          <w:rFonts w:ascii="Georgia" w:hAnsi="Georgia" w:cs="Arial"/>
          <w:color w:val="FF0000"/>
          <w:spacing w:val="-12"/>
          <w:sz w:val="42"/>
          <w:szCs w:val="42"/>
        </w:rPr>
        <w:lastRenderedPageBreak/>
        <w:t>NCRF 21 – Provisões, passivos contingentes e activos contingentes, exemplos e comentários</w:t>
      </w:r>
      <w:bookmarkEnd w:id="22"/>
    </w:p>
    <w:p w:rsidR="003053E7" w:rsidRDefault="003053E7" w:rsidP="003053E7">
      <w:pPr>
        <w:pStyle w:val="NormalWeb"/>
        <w:spacing w:line="276" w:lineRule="atLeast"/>
        <w:jc w:val="both"/>
        <w:rPr>
          <w:rFonts w:ascii="Arial" w:hAnsi="Arial" w:cs="Arial"/>
          <w:b/>
          <w:bCs/>
          <w:color w:val="444444"/>
          <w:sz w:val="21"/>
          <w:szCs w:val="21"/>
        </w:rPr>
      </w:pPr>
      <w:r>
        <w:rPr>
          <w:rFonts w:ascii="Arial" w:hAnsi="Arial" w:cs="Arial"/>
          <w:b/>
          <w:bCs/>
          <w:color w:val="444444"/>
          <w:sz w:val="21"/>
          <w:szCs w:val="21"/>
        </w:rPr>
        <w:t>Esta norma identifica-se com a IAS 37 e descreve quais os comportamentos a serem relevados nas provisões, activos e passivos contingentes (excepto os que resultam de contratos executórios, de investimentos financeiros e de passivos contraídos por concentrações de actividades empresariais, assim como algumas provisões inerentes aos contratos de construção e locação).</w:t>
      </w:r>
    </w:p>
    <w:p w:rsidR="003053E7" w:rsidRDefault="003053E7" w:rsidP="003053E7">
      <w:pPr>
        <w:pStyle w:val="NormalWeb"/>
        <w:jc w:val="both"/>
        <w:rPr>
          <w:rFonts w:ascii="Arial" w:hAnsi="Arial" w:cs="Arial"/>
        </w:rPr>
      </w:pPr>
      <w:r>
        <w:rPr>
          <w:rStyle w:val="Forte"/>
          <w:rFonts w:ascii="Arial" w:hAnsi="Arial" w:cs="Arial"/>
        </w:rPr>
        <w:t>O que é um activo contingente?</w:t>
      </w:r>
    </w:p>
    <w:p w:rsidR="003053E7" w:rsidRDefault="003053E7" w:rsidP="003053E7">
      <w:pPr>
        <w:pStyle w:val="NormalWeb"/>
        <w:jc w:val="both"/>
        <w:rPr>
          <w:rFonts w:ascii="Arial" w:hAnsi="Arial" w:cs="Arial"/>
        </w:rPr>
      </w:pPr>
      <w:r>
        <w:rPr>
          <w:rFonts w:ascii="Arial" w:hAnsi="Arial" w:cs="Arial"/>
        </w:rPr>
        <w:t>Correspondem a activos possíveis cuja efectivação dependerá da ocorrência, ou não, de determinados acontecimentos futuros, incertos, que não são completamente controlados pela entidade detentora desses activos.</w:t>
      </w:r>
    </w:p>
    <w:p w:rsidR="003053E7" w:rsidRDefault="003053E7" w:rsidP="003053E7">
      <w:pPr>
        <w:pStyle w:val="info"/>
        <w:jc w:val="both"/>
        <w:rPr>
          <w:rFonts w:ascii="Arial" w:hAnsi="Arial" w:cs="Arial"/>
        </w:rPr>
      </w:pPr>
      <w:r>
        <w:rPr>
          <w:rFonts w:ascii="Arial" w:hAnsi="Arial" w:cs="Arial"/>
        </w:rPr>
        <w:t>Importante: Estes activos contingentes não devem ser reconhecidos no balanço das entidades que os detêm, mas devem incorporar notas explicativas no anexo.</w:t>
      </w:r>
    </w:p>
    <w:p w:rsidR="003053E7" w:rsidRDefault="003053E7" w:rsidP="003053E7">
      <w:pPr>
        <w:pStyle w:val="NormalWeb"/>
        <w:jc w:val="both"/>
        <w:rPr>
          <w:rFonts w:ascii="Arial" w:hAnsi="Arial" w:cs="Arial"/>
        </w:rPr>
      </w:pPr>
      <w:r>
        <w:rPr>
          <w:rFonts w:ascii="Arial" w:hAnsi="Arial" w:cs="Arial"/>
        </w:rPr>
        <w:t>Exemplo activo contingente:</w:t>
      </w:r>
    </w:p>
    <w:p w:rsidR="003053E7" w:rsidRDefault="003053E7" w:rsidP="003053E7">
      <w:pPr>
        <w:pStyle w:val="NormalWeb"/>
        <w:jc w:val="both"/>
        <w:rPr>
          <w:rFonts w:ascii="Arial" w:hAnsi="Arial" w:cs="Arial"/>
        </w:rPr>
      </w:pPr>
      <w:r>
        <w:rPr>
          <w:rFonts w:ascii="Arial" w:hAnsi="Arial" w:cs="Arial"/>
        </w:rPr>
        <w:t>Qualquer acção judicial colocada por determinada empresa sobre um direito potencialmente exequível, mas com conclusão ainda incerta.</w:t>
      </w:r>
    </w:p>
    <w:p w:rsidR="003053E7" w:rsidRDefault="003053E7" w:rsidP="003053E7">
      <w:pPr>
        <w:pStyle w:val="NormalWeb"/>
        <w:jc w:val="both"/>
        <w:rPr>
          <w:rFonts w:ascii="Arial" w:hAnsi="Arial" w:cs="Arial"/>
        </w:rPr>
      </w:pPr>
      <w:r>
        <w:rPr>
          <w:rStyle w:val="Forte"/>
          <w:rFonts w:ascii="Arial" w:hAnsi="Arial" w:cs="Arial"/>
        </w:rPr>
        <w:t>O que é um passivo contingente?</w:t>
      </w:r>
    </w:p>
    <w:p w:rsidR="003053E7" w:rsidRDefault="003053E7" w:rsidP="003053E7">
      <w:pPr>
        <w:pStyle w:val="NormalWeb"/>
        <w:jc w:val="both"/>
        <w:rPr>
          <w:rFonts w:ascii="Arial" w:hAnsi="Arial" w:cs="Arial"/>
        </w:rPr>
      </w:pPr>
      <w:r>
        <w:rPr>
          <w:rFonts w:ascii="Arial" w:hAnsi="Arial" w:cs="Arial"/>
        </w:rPr>
        <w:t>Determina uma obrigação possível dependente de certos eventos futuros, que ditarão, ou não, a sua efectivação como passivo.</w:t>
      </w:r>
    </w:p>
    <w:p w:rsidR="003053E7" w:rsidRDefault="003053E7" w:rsidP="003053E7">
      <w:pPr>
        <w:pStyle w:val="NormalWeb"/>
        <w:jc w:val="both"/>
        <w:rPr>
          <w:rFonts w:ascii="Arial" w:hAnsi="Arial" w:cs="Arial"/>
        </w:rPr>
      </w:pPr>
      <w:r>
        <w:rPr>
          <w:rFonts w:ascii="Arial" w:hAnsi="Arial" w:cs="Arial"/>
        </w:rPr>
        <w:t>Estes eventos futuros referem-se a incertezas quanto à fiabilidade da quantia inerente a essa obrigação e se a mesma irá incorporar a saída de recursos para a liquidar (obrigação).</w:t>
      </w:r>
    </w:p>
    <w:p w:rsidR="003053E7" w:rsidRDefault="003053E7" w:rsidP="003053E7">
      <w:pPr>
        <w:pStyle w:val="NormalWeb"/>
        <w:jc w:val="both"/>
        <w:rPr>
          <w:rFonts w:ascii="Arial" w:hAnsi="Arial" w:cs="Arial"/>
        </w:rPr>
      </w:pPr>
      <w:r>
        <w:rPr>
          <w:rStyle w:val="Forte"/>
          <w:rFonts w:ascii="Arial" w:hAnsi="Arial" w:cs="Arial"/>
        </w:rPr>
        <w:t>O que significa provisão?</w:t>
      </w:r>
    </w:p>
    <w:p w:rsidR="003053E7" w:rsidRDefault="003053E7" w:rsidP="003053E7">
      <w:pPr>
        <w:pStyle w:val="NormalWeb"/>
        <w:jc w:val="both"/>
        <w:rPr>
          <w:rFonts w:ascii="Arial" w:hAnsi="Arial" w:cs="Arial"/>
        </w:rPr>
      </w:pPr>
      <w:r>
        <w:rPr>
          <w:rFonts w:ascii="Arial" w:hAnsi="Arial" w:cs="Arial"/>
        </w:rPr>
        <w:t>A norma define Provisão como uma obrigação, um passivo, de "tempestividade e/ou quantia incerta".</w:t>
      </w:r>
    </w:p>
    <w:p w:rsidR="003053E7" w:rsidRDefault="003053E7" w:rsidP="003053E7">
      <w:pPr>
        <w:pStyle w:val="NormalWeb"/>
        <w:jc w:val="both"/>
        <w:rPr>
          <w:rFonts w:ascii="Arial" w:hAnsi="Arial" w:cs="Arial"/>
        </w:rPr>
      </w:pPr>
      <w:r>
        <w:rPr>
          <w:rFonts w:ascii="Arial" w:hAnsi="Arial" w:cs="Arial"/>
        </w:rPr>
        <w:t>Ou seja, significa uma obrigação presente, legal ou construtiva, resultante de acontecimentos passados, com probabilidade de saída de recursos para satisfazer essa obrigação, cuja quantia possa ser estimada de forma fiável.</w:t>
      </w:r>
    </w:p>
    <w:p w:rsidR="003053E7" w:rsidRDefault="003053E7" w:rsidP="003053E7">
      <w:pPr>
        <w:pStyle w:val="NormalWeb"/>
        <w:jc w:val="both"/>
        <w:rPr>
          <w:rFonts w:ascii="Arial" w:hAnsi="Arial" w:cs="Arial"/>
        </w:rPr>
      </w:pPr>
      <w:r>
        <w:rPr>
          <w:rStyle w:val="Forte"/>
          <w:rFonts w:ascii="Arial" w:hAnsi="Arial" w:cs="Arial"/>
        </w:rPr>
        <w:t>Exemplos práticos</w:t>
      </w:r>
    </w:p>
    <w:p w:rsidR="003053E7" w:rsidRDefault="003053E7" w:rsidP="003053E7">
      <w:pPr>
        <w:pStyle w:val="NormalWeb"/>
        <w:jc w:val="both"/>
        <w:rPr>
          <w:rFonts w:ascii="Arial" w:hAnsi="Arial" w:cs="Arial"/>
        </w:rPr>
      </w:pPr>
      <w:r>
        <w:rPr>
          <w:rFonts w:ascii="Arial" w:hAnsi="Arial" w:cs="Arial"/>
        </w:rPr>
        <w:t>1-A empresa A fabrica aspiradores industriais de elevado rendimento. Aquando da venda a empresa atribui dois anos de garantia sobre os seus produtos. Nos últimos anos, analisando o histórico, as reclamações ascendem a 30.000 euros por ano.</w:t>
      </w:r>
    </w:p>
    <w:p w:rsidR="003053E7" w:rsidRDefault="003053E7" w:rsidP="003053E7">
      <w:pPr>
        <w:pStyle w:val="NormalWeb"/>
        <w:jc w:val="both"/>
        <w:rPr>
          <w:rFonts w:ascii="Arial" w:hAnsi="Arial" w:cs="Arial"/>
        </w:rPr>
      </w:pPr>
      <w:r>
        <w:rPr>
          <w:rFonts w:ascii="Arial" w:hAnsi="Arial" w:cs="Arial"/>
        </w:rPr>
        <w:t>Deve ser reconhecida uma provisão?</w:t>
      </w:r>
    </w:p>
    <w:p w:rsidR="003053E7" w:rsidRDefault="003053E7" w:rsidP="003053E7">
      <w:pPr>
        <w:pStyle w:val="NormalWeb"/>
        <w:jc w:val="both"/>
        <w:rPr>
          <w:rFonts w:ascii="Arial" w:hAnsi="Arial" w:cs="Arial"/>
        </w:rPr>
      </w:pPr>
      <w:r>
        <w:rPr>
          <w:rFonts w:ascii="Arial" w:hAnsi="Arial" w:cs="Arial"/>
        </w:rPr>
        <w:t>Sim! Uma vez que existe uma forte evidência de necessidades para liquidar os produtos abrangidos por garantia e segundo o historial da empresa, o montante pode ser fielmente estimado.</w:t>
      </w:r>
    </w:p>
    <w:p w:rsidR="003053E7" w:rsidRDefault="003053E7" w:rsidP="003053E7">
      <w:pPr>
        <w:pStyle w:val="NormalWeb"/>
        <w:jc w:val="both"/>
        <w:rPr>
          <w:rFonts w:ascii="Arial" w:hAnsi="Arial" w:cs="Arial"/>
        </w:rPr>
      </w:pPr>
      <w:r>
        <w:rPr>
          <w:rFonts w:ascii="Arial" w:hAnsi="Arial" w:cs="Arial"/>
        </w:rPr>
        <w:t>2- Normalmente os supermercados adoptam a política de devolução total das quantias de compra aos consumidores que comprovem a sua insatisfação perante os bens adquiridos.</w:t>
      </w:r>
    </w:p>
    <w:p w:rsidR="003053E7" w:rsidRDefault="003053E7" w:rsidP="003053E7">
      <w:pPr>
        <w:pStyle w:val="NormalWeb"/>
        <w:jc w:val="both"/>
        <w:rPr>
          <w:rFonts w:ascii="Arial" w:hAnsi="Arial" w:cs="Arial"/>
        </w:rPr>
      </w:pPr>
      <w:r>
        <w:rPr>
          <w:rFonts w:ascii="Arial" w:hAnsi="Arial" w:cs="Arial"/>
        </w:rPr>
        <w:lastRenderedPageBreak/>
        <w:t>Se existirem dados históricos que permitam estimar o valor destas devoluções aos clientes, estas entidades devem reconhecer nas suas demonstrações financeiras uma provisão que "cubra" este risco.</w:t>
      </w:r>
    </w:p>
    <w:p w:rsidR="003053E7" w:rsidRDefault="003053E7" w:rsidP="003053E7">
      <w:pPr>
        <w:pStyle w:val="NormalWeb"/>
        <w:jc w:val="both"/>
        <w:rPr>
          <w:rFonts w:ascii="Arial" w:hAnsi="Arial" w:cs="Arial"/>
        </w:rPr>
      </w:pPr>
      <w:r>
        <w:rPr>
          <w:rStyle w:val="Forte"/>
          <w:rFonts w:ascii="Arial" w:hAnsi="Arial" w:cs="Arial"/>
        </w:rPr>
        <w:t>Imparidades Vs provisões</w:t>
      </w:r>
    </w:p>
    <w:p w:rsidR="003053E7" w:rsidRDefault="003053E7" w:rsidP="003053E7">
      <w:pPr>
        <w:pStyle w:val="NormalWeb"/>
        <w:jc w:val="both"/>
        <w:rPr>
          <w:rFonts w:ascii="Arial" w:hAnsi="Arial" w:cs="Arial"/>
        </w:rPr>
      </w:pPr>
      <w:r>
        <w:rPr>
          <w:rFonts w:ascii="Arial" w:hAnsi="Arial" w:cs="Arial"/>
        </w:rPr>
        <w:t xml:space="preserve">Importa referir e distinguir imparidades de provisões. As imparidades, contrariamente às provisões, não implicam a probabilidade de saída de recursos, mas sim uma redução dos </w:t>
      </w:r>
      <w:proofErr w:type="spellStart"/>
      <w:r>
        <w:rPr>
          <w:rFonts w:ascii="Arial" w:hAnsi="Arial" w:cs="Arial"/>
        </w:rPr>
        <w:t>cash-flows</w:t>
      </w:r>
      <w:proofErr w:type="spellEnd"/>
      <w:r>
        <w:rPr>
          <w:rFonts w:ascii="Arial" w:hAnsi="Arial" w:cs="Arial"/>
        </w:rPr>
        <w:t>, outrora estimados para determinado activo.</w:t>
      </w:r>
    </w:p>
    <w:p w:rsidR="003053E7" w:rsidRDefault="003053E7" w:rsidP="003053E7">
      <w:pPr>
        <w:pStyle w:val="info"/>
        <w:jc w:val="both"/>
        <w:rPr>
          <w:rFonts w:ascii="Arial" w:hAnsi="Arial" w:cs="Arial"/>
        </w:rPr>
      </w:pPr>
      <w:r>
        <w:rPr>
          <w:rFonts w:ascii="Arial" w:hAnsi="Arial" w:cs="Arial"/>
        </w:rPr>
        <w:t>Nota: Poderão existir imparidades nos créditos sobre determinados clientes. Caso existam, devem as mesmas representar uma redução da conta de clientes ou conta própria, e não a constituição de uma provisão.</w:t>
      </w:r>
    </w:p>
    <w:p w:rsidR="003053E7" w:rsidRDefault="003053E7" w:rsidP="003053E7">
      <w:pPr>
        <w:pStyle w:val="NormalWeb"/>
        <w:jc w:val="both"/>
        <w:rPr>
          <w:rFonts w:ascii="Arial" w:hAnsi="Arial" w:cs="Arial"/>
        </w:rPr>
      </w:pPr>
      <w:r>
        <w:rPr>
          <w:rStyle w:val="Forte"/>
          <w:rFonts w:ascii="Arial" w:hAnsi="Arial" w:cs="Arial"/>
        </w:rPr>
        <w:t>Observações finais</w:t>
      </w:r>
    </w:p>
    <w:p w:rsidR="003053E7" w:rsidRDefault="003053E7" w:rsidP="003053E7">
      <w:pPr>
        <w:pStyle w:val="NormalWeb"/>
        <w:jc w:val="both"/>
        <w:rPr>
          <w:rFonts w:ascii="Arial" w:hAnsi="Arial" w:cs="Arial"/>
        </w:rPr>
      </w:pPr>
      <w:r>
        <w:rPr>
          <w:rFonts w:ascii="Arial" w:hAnsi="Arial" w:cs="Arial"/>
        </w:rPr>
        <w:t>As entidades devem ter presente que provisões, passivos contingentes e imparidades são conceitos distintos. Como referido pelos exemplos anteriores, perante as diversas circunstâncias ocorridas, deve-se ter em conta se é possível calcular o risco de forma fiável e se o mesmo representa ou não uma efectiva probabilidade de saída de recursos para as empresas.</w:t>
      </w:r>
    </w:p>
    <w:p w:rsidR="00FE379D" w:rsidRDefault="00FE379D" w:rsidP="003053E7">
      <w:pPr>
        <w:pStyle w:val="NormalWeb"/>
        <w:jc w:val="both"/>
        <w:rPr>
          <w:rFonts w:ascii="Arial" w:hAnsi="Arial" w:cs="Arial"/>
        </w:rPr>
      </w:pPr>
    </w:p>
    <w:p w:rsidR="003053E7" w:rsidRDefault="003053E7" w:rsidP="00AB0A96">
      <w:pPr>
        <w:spacing w:before="115" w:line="264" w:lineRule="auto"/>
        <w:outlineLvl w:val="2"/>
        <w:rPr>
          <w:rFonts w:ascii="Georgia" w:hAnsi="Georgia" w:cs="Arial"/>
          <w:color w:val="FF0000"/>
          <w:spacing w:val="-12"/>
          <w:sz w:val="42"/>
          <w:szCs w:val="42"/>
        </w:rPr>
      </w:pPr>
      <w:bookmarkStart w:id="23" w:name="_Toc290996398"/>
      <w:r w:rsidRPr="003053E7">
        <w:rPr>
          <w:rFonts w:ascii="Georgia" w:hAnsi="Georgia" w:cs="Arial"/>
          <w:color w:val="FF0000"/>
          <w:spacing w:val="-12"/>
          <w:sz w:val="42"/>
          <w:szCs w:val="42"/>
        </w:rPr>
        <w:t>NCRF 22 – Contabilização e divulgação dos subsídios do Governo - exemplos e comentários</w:t>
      </w:r>
      <w:bookmarkEnd w:id="23"/>
    </w:p>
    <w:p w:rsidR="003053E7" w:rsidRPr="003053E7" w:rsidRDefault="003053E7" w:rsidP="003053E7">
      <w:pPr>
        <w:spacing w:before="58" w:after="115" w:line="276" w:lineRule="atLeast"/>
        <w:jc w:val="both"/>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Os subsídios do Governo afiguram-se na forma de diferentes apoios sob transferências de recursos para determinadas entidades como "moeda" de troca ao cumprimento de certas condições relacionadas com actividades desenvolvidas por essas mesmas entidades.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Caracterização dos subsídios</w:t>
      </w:r>
    </w:p>
    <w:p w:rsidR="003053E7" w:rsidRPr="003053E7" w:rsidRDefault="003053E7" w:rsidP="003053E7">
      <w:pPr>
        <w:numPr>
          <w:ilvl w:val="0"/>
          <w:numId w:val="64"/>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Subsídios relacionados com activos: por exemplo, subsídios destinados à aquisição ou construção de activos de longo prazo; </w:t>
      </w:r>
    </w:p>
    <w:p w:rsidR="003053E7" w:rsidRPr="003053E7" w:rsidRDefault="003053E7" w:rsidP="003053E7">
      <w:pPr>
        <w:numPr>
          <w:ilvl w:val="0"/>
          <w:numId w:val="64"/>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Subsídios de rendimentos: todos os subsídios que não estão relacionados com activos.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Classificação inicial dos subsídios:</w:t>
      </w:r>
    </w:p>
    <w:p w:rsidR="003053E7" w:rsidRPr="003053E7" w:rsidRDefault="003053E7" w:rsidP="003053E7">
      <w:pPr>
        <w:numPr>
          <w:ilvl w:val="0"/>
          <w:numId w:val="65"/>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Subsídios reembolsáveis</w:t>
      </w:r>
      <w:proofErr w:type="gramStart"/>
      <w:r w:rsidRPr="003053E7">
        <w:rPr>
          <w:rFonts w:ascii="Arial" w:eastAsia="Times New Roman" w:hAnsi="Arial" w:cs="Arial"/>
          <w:sz w:val="24"/>
          <w:szCs w:val="24"/>
          <w:lang w:eastAsia="pt-PT"/>
        </w:rPr>
        <w:t>: Devem</w:t>
      </w:r>
      <w:proofErr w:type="gramEnd"/>
      <w:r w:rsidRPr="003053E7">
        <w:rPr>
          <w:rFonts w:ascii="Arial" w:eastAsia="Times New Roman" w:hAnsi="Arial" w:cs="Arial"/>
          <w:sz w:val="24"/>
          <w:szCs w:val="24"/>
          <w:lang w:eastAsia="pt-PT"/>
        </w:rPr>
        <w:t xml:space="preserve"> ser reconhecidos como passivos (conta 27). Posteriormente se vierem a ser classificados como não reembolsáveis, deverão ser reclassificados no capital próprio das entidades beneficiárias. </w:t>
      </w:r>
    </w:p>
    <w:p w:rsidR="003053E7" w:rsidRPr="003053E7" w:rsidRDefault="003053E7" w:rsidP="003053E7">
      <w:pPr>
        <w:numPr>
          <w:ilvl w:val="0"/>
          <w:numId w:val="65"/>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Subsídios não reembolsáveis</w:t>
      </w:r>
      <w:proofErr w:type="gramStart"/>
      <w:r w:rsidRPr="003053E7">
        <w:rPr>
          <w:rFonts w:ascii="Arial" w:eastAsia="Times New Roman" w:hAnsi="Arial" w:cs="Arial"/>
          <w:sz w:val="24"/>
          <w:szCs w:val="24"/>
          <w:lang w:eastAsia="pt-PT"/>
        </w:rPr>
        <w:t>: Devem</w:t>
      </w:r>
      <w:proofErr w:type="gramEnd"/>
      <w:r w:rsidRPr="003053E7">
        <w:rPr>
          <w:rFonts w:ascii="Arial" w:eastAsia="Times New Roman" w:hAnsi="Arial" w:cs="Arial"/>
          <w:sz w:val="24"/>
          <w:szCs w:val="24"/>
          <w:lang w:eastAsia="pt-PT"/>
        </w:rPr>
        <w:t xml:space="preserve"> ser registados directamente nos capitais próprios dos beneficiários (conta 59).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Registos subsequentes dos subsídios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Se os subsídios incorporam activos fixos tangíveis, ou intangíveis com vida útil definida, devem ser imputados numa base sistemática como rendimentos (conta 7883).</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Se incorporam activos intangíveis com vida útil indefinida, ou tangíveis não depreciáveis, devem ser mantidos nos capitais próprios (desde que a quantia não seja indispensável a qualquer perda por imparidade).</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Nota: Os subsídios anteriores existentes nas entidades com saldo de proveito diferido devem, segundo as novas normas, ser reclassificados como capital próprio.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Podem ainda existir subsídios à exploração (registados na conta 75), atribuídos como contrapartida por determinados gastos ou perdas, ou subsídios não monetários, como por exemplo a cedência de terrenos ou edifícios para uso de determinada empresa (neste caso concreto as entidades devem avaliar o justo valor do activo e contabilizar o activo e o subsídio ao justo valor, ou registar ambos pelo valor </w:t>
      </w:r>
      <w:proofErr w:type="gramStart"/>
      <w:r w:rsidRPr="003053E7">
        <w:rPr>
          <w:rFonts w:ascii="Arial" w:eastAsia="Times New Roman" w:hAnsi="Arial" w:cs="Arial"/>
          <w:sz w:val="24"/>
          <w:szCs w:val="24"/>
          <w:lang w:eastAsia="pt-PT"/>
        </w:rPr>
        <w:t>nominal) .</w:t>
      </w:r>
      <w:proofErr w:type="gramEnd"/>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Caso prático 1:</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empresa XYZ candidatou-se a um subsídio (do estado) para aquisição de um novo equipamento produtivo, justificando-se a aquisição com a entrada num novo segmento de mercado internacional.</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aquisição ascende a 500.000 euros. A empresa XYZ recebeu a aprovação da candidatura em 50% do custo elegível com a aquisição (não reembolsáveis). A vida útil esperada é de 4 anos.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Como reconhecer o subsídio?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da conta 433 – Activo tangível: 500.000 euros (valor da compra dos dois equipamentos)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12 – depósitos à ordem: 500.000 euros (pelo pagamento integral do equipamento)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da conta 12 – depósitos à ordem: 250.000 euros (Subsídio recebido)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593 – capital próprio: 250.000 euros (reconhecimento do subsídio)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Pela imputação subsídio: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conta 593 - capital próprio e crédito da conta 7833 por 62.500 euros (250.000 * 25%).</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Caso prático 2:</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empresa XYZ foi também contemplada com um subsídio do governo (10.000 euros) para compensação pela redução do preço praticado na comercialização de azeite.</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Estamos na presença de um subsídio à exploração, como tal:</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empresa deve classificar o subsídio debitando a conta 12 e creditando a conta 75 por 10.000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Notas finais</w:t>
      </w:r>
    </w:p>
    <w:p w:rsidR="003053E7" w:rsidRP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 novo normativo SNC impõem algumas alterações relativamente à contabilização dos subsídios. A principal alteração face ao POC deve-se aos subsídios para activos tangíveis (subsídios ao investimento), passando os mesmos, dentro de certos requisitos, a serem relevados nos capitais próprios (no POC eram considerados no passivo).</w:t>
      </w:r>
    </w:p>
    <w:p w:rsidR="003053E7" w:rsidRDefault="003053E7" w:rsidP="00AB0A96">
      <w:pPr>
        <w:spacing w:before="115" w:line="264" w:lineRule="auto"/>
        <w:outlineLvl w:val="2"/>
        <w:rPr>
          <w:rFonts w:ascii="Georgia" w:hAnsi="Georgia" w:cs="Arial"/>
          <w:color w:val="FF0000"/>
          <w:spacing w:val="-12"/>
          <w:sz w:val="42"/>
          <w:szCs w:val="42"/>
        </w:rPr>
      </w:pPr>
      <w:bookmarkStart w:id="24" w:name="_Toc290996399"/>
      <w:r w:rsidRPr="003053E7">
        <w:rPr>
          <w:rFonts w:ascii="Georgia" w:hAnsi="Georgia" w:cs="Arial"/>
          <w:color w:val="FF0000"/>
          <w:spacing w:val="-12"/>
          <w:sz w:val="42"/>
          <w:szCs w:val="42"/>
        </w:rPr>
        <w:lastRenderedPageBreak/>
        <w:t>NCRF 23 – Os efeitos das alterações em taxas de câmbio - exemplos e comentários</w:t>
      </w:r>
      <w:bookmarkEnd w:id="24"/>
    </w:p>
    <w:p w:rsidR="003053E7" w:rsidRPr="003053E7" w:rsidRDefault="003053E7" w:rsidP="003053E7">
      <w:pPr>
        <w:spacing w:before="58" w:after="115" w:line="276" w:lineRule="atLeast"/>
        <w:jc w:val="both"/>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Esta norma revela-se de interesse absoluto no sentido de conhecer quais os critérios a serem seguidos na contabilização das transacções em moeda estrangeira e como se deverá transpor as demonstrações financeiras para a moeda de apresentação.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Simplesmente, a norma define quais as taxas de câmbio e a forma de utilização das mesmas nos elementos constituintes da prestação de contas.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Âmbito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Os critérios enumerados na norma aplicam-se:</w:t>
      </w:r>
    </w:p>
    <w:p w:rsidR="003053E7" w:rsidRPr="003053E7" w:rsidRDefault="003053E7" w:rsidP="003053E7">
      <w:pPr>
        <w:numPr>
          <w:ilvl w:val="0"/>
          <w:numId w:val="66"/>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No registo de transacções em moeda estrangeira; </w:t>
      </w:r>
    </w:p>
    <w:p w:rsidR="003053E7" w:rsidRPr="003053E7" w:rsidRDefault="003053E7" w:rsidP="003053E7">
      <w:pPr>
        <w:numPr>
          <w:ilvl w:val="0"/>
          <w:numId w:val="66"/>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Em saldos existentes em moeda estrangeira; </w:t>
      </w:r>
    </w:p>
    <w:p w:rsidR="003053E7" w:rsidRPr="003053E7" w:rsidRDefault="003053E7" w:rsidP="003053E7">
      <w:pPr>
        <w:numPr>
          <w:ilvl w:val="0"/>
          <w:numId w:val="66"/>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Na transposição das demonstrações financeiras; dos resultados e posição financeira de uma entidade; </w:t>
      </w:r>
    </w:p>
    <w:p w:rsidR="003053E7" w:rsidRPr="003053E7" w:rsidRDefault="003053E7" w:rsidP="003053E7">
      <w:pPr>
        <w:numPr>
          <w:ilvl w:val="0"/>
          <w:numId w:val="66"/>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Perante transposições de quantias relacionadas com derivados da sua moeda funcional para a moeda de apresentação das DF.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significa taxa de câmbio?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Denomina-se pelo quociente que permite a troca de duas moedas diferentes.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 que são consideradas actividades no estrangeiro?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Caracterizam-se</w:t>
      </w:r>
    </w:p>
    <w:p w:rsidR="003053E7" w:rsidRPr="003053E7" w:rsidRDefault="003053E7" w:rsidP="003053E7">
      <w:pPr>
        <w:numPr>
          <w:ilvl w:val="0"/>
          <w:numId w:val="67"/>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Por transacções em moeda estrangeira, ou </w:t>
      </w:r>
    </w:p>
    <w:p w:rsidR="003053E7" w:rsidRPr="003053E7" w:rsidRDefault="003053E7" w:rsidP="003053E7">
      <w:pPr>
        <w:numPr>
          <w:ilvl w:val="0"/>
          <w:numId w:val="67"/>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Posse de unidades operacionais no estrangeiro.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Uma transacção no estrangeiro ocorre na compra; venda ou serviços efectuados numa moeda estrangeira e /ou sempre que seja pedido ou consentido financiamento em moeda estrangeira.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Como reconhecer inicialmente estas operações?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 momento inicial as transacções supra-referidas devem ser convertidas mediante a aplicação da taxa de câmbio correspondente, à data da transacção, entre a moeda economicamente utilizada e a moeda estrangeira.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Sempre que existam diferenças de câmbio (resultam da transposição de uma moeda para outra moeda a diferentes taxas de câmbio), as mesmas devem ser reconhecidas nos resultados do período em que ocorram (excepto em determinadas operações de investimento em unidades operacionais estrangeiras).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Notas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As entidades podem apresentar as prestações de contas em qualquer moeda. Se a moeda utilizada difere da moeda económica daquele país onde são apresentadas as demonstrações financeiras, a mesma deve transpor os resultados e posição financeira para a moeda de apresentação. No caso </w:t>
      </w:r>
      <w:r w:rsidRPr="003053E7">
        <w:rPr>
          <w:rFonts w:ascii="Arial" w:eastAsia="Times New Roman" w:hAnsi="Arial" w:cs="Arial"/>
          <w:sz w:val="24"/>
          <w:szCs w:val="24"/>
          <w:lang w:eastAsia="pt-PT"/>
        </w:rPr>
        <w:lastRenderedPageBreak/>
        <w:t>concreto de um grupo de empresas com diferentes unidades e esse mesmo grupo utilizar moedas distintas, a apresentação de contas consolidadas, deve ser efectuada numa moeda comum.</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Métodos de transposição das demonstrações financeiras permitidos pelo POC</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Os principais métodos que o POC permitia:</w:t>
      </w:r>
    </w:p>
    <w:p w:rsidR="003053E7" w:rsidRPr="003053E7" w:rsidRDefault="003053E7" w:rsidP="003053E7">
      <w:pPr>
        <w:numPr>
          <w:ilvl w:val="0"/>
          <w:numId w:val="68"/>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Método temporal </w:t>
      </w:r>
    </w:p>
    <w:p w:rsidR="003053E7" w:rsidRPr="003053E7" w:rsidRDefault="003053E7" w:rsidP="003053E7">
      <w:pPr>
        <w:numPr>
          <w:ilvl w:val="1"/>
          <w:numId w:val="68"/>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Balanço: Activos e passivos monetários transpostos à taxa de fecho; não monetários e operações a longo prazo transpostos à taxa histórica. </w:t>
      </w:r>
    </w:p>
    <w:p w:rsidR="003053E7" w:rsidRPr="003053E7" w:rsidRDefault="003053E7" w:rsidP="003053E7">
      <w:pPr>
        <w:numPr>
          <w:ilvl w:val="1"/>
          <w:numId w:val="68"/>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Demonstração dos resultados: Custos e proveitos são convertidos à taxa média, com excepção das provisões e depreciações (taxa utilizada no balanço). </w:t>
      </w:r>
    </w:p>
    <w:p w:rsidR="003053E7" w:rsidRPr="003053E7" w:rsidRDefault="003053E7" w:rsidP="003053E7">
      <w:pPr>
        <w:numPr>
          <w:ilvl w:val="0"/>
          <w:numId w:val="68"/>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Método corrente (este método aplica-se às entidades estrangeiras). </w:t>
      </w:r>
    </w:p>
    <w:p w:rsidR="003053E7" w:rsidRPr="003053E7" w:rsidRDefault="003053E7" w:rsidP="003053E7">
      <w:pPr>
        <w:numPr>
          <w:ilvl w:val="1"/>
          <w:numId w:val="68"/>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Balanço: Nos activos e passivos utiliza-se o câmbio à data do fecho; o capital próprio é convertido ao câmbio histórico aplicável. </w:t>
      </w:r>
    </w:p>
    <w:p w:rsidR="003053E7" w:rsidRPr="003053E7" w:rsidRDefault="003053E7" w:rsidP="003053E7">
      <w:pPr>
        <w:numPr>
          <w:ilvl w:val="1"/>
          <w:numId w:val="68"/>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Demonstração dos resultados: Pode ser utilizado o câmbio médio do período ou o câmbio à data do fecho.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Em SNC: À data do balanço:</w:t>
      </w:r>
    </w:p>
    <w:p w:rsidR="003053E7" w:rsidRPr="003053E7" w:rsidRDefault="003053E7" w:rsidP="003053E7">
      <w:pPr>
        <w:numPr>
          <w:ilvl w:val="0"/>
          <w:numId w:val="6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Os itens monetários em moeda estrangeira devem ser transpostos pela taxa de fecho. </w:t>
      </w:r>
    </w:p>
    <w:p w:rsidR="003053E7" w:rsidRPr="003053E7" w:rsidRDefault="003053E7" w:rsidP="003053E7">
      <w:pPr>
        <w:numPr>
          <w:ilvl w:val="0"/>
          <w:numId w:val="6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Os itens não monetários registados pelo custo histórico numa moeda estrangeira devem ser transpostos pelo uso de uma taxa de câmbio à data da transacção. </w:t>
      </w:r>
    </w:p>
    <w:p w:rsidR="003053E7" w:rsidRPr="003053E7" w:rsidRDefault="003053E7" w:rsidP="003053E7">
      <w:pPr>
        <w:numPr>
          <w:ilvl w:val="0"/>
          <w:numId w:val="6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Os itens não monetários registados pelo justo valor numa moeda estrangeira devem ser transpostos pelo uso das taxas de câmbio que existiam aquando da determinação dos seus justos valores.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Exemplificação prática</w:t>
      </w:r>
    </w:p>
    <w:p w:rsidR="003053E7" w:rsidRP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empresa C apresenta a seguinte demonstração de resultados em moeda estrangeira (USD) no exercício N</w:t>
      </w:r>
    </w:p>
    <w:tbl>
      <w:tblPr>
        <w:tblW w:w="5000" w:type="pct"/>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4367"/>
        <w:gridCol w:w="4367"/>
      </w:tblGrid>
      <w:tr w:rsidR="003053E7" w:rsidRPr="003053E7" w:rsidTr="003053E7">
        <w:tc>
          <w:tcPr>
            <w:tcW w:w="250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Custo das mercadorias vendidas: 350.000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Vendas: 785.000</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Fornecimentos e serviços externos: 95.000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Gastos com pessoal: 250.000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Resultado do exercício: 90.000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b/>
                <w:bCs/>
                <w:color w:val="404040"/>
                <w:sz w:val="24"/>
                <w:szCs w:val="24"/>
                <w:lang w:eastAsia="pt-PT"/>
              </w:rPr>
              <w:t>Total: 785.000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b/>
                <w:bCs/>
                <w:color w:val="404040"/>
                <w:sz w:val="24"/>
                <w:szCs w:val="24"/>
                <w:lang w:eastAsia="pt-PT"/>
              </w:rPr>
              <w:t>Total: 785.000</w:t>
            </w:r>
          </w:p>
        </w:tc>
      </w:tr>
    </w:tbl>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Informação das taxas de câmbio:</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No início do exercício N -------------- 1 USD = 1.026 EUR</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No fim do exercício N ----------------- 1 USD = 1.034 EUR</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b/>
          <w:bCs/>
          <w:sz w:val="24"/>
          <w:szCs w:val="24"/>
          <w:lang w:eastAsia="pt-PT"/>
        </w:rPr>
        <w:t>Transposição segundo o método temporal</w:t>
      </w:r>
    </w:p>
    <w:p w:rsidR="003053E7" w:rsidRPr="003053E7" w:rsidRDefault="003053E7" w:rsidP="003053E7">
      <w:pPr>
        <w:spacing w:before="58"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Final exercício N (Valores em Euros)</w:t>
      </w:r>
    </w:p>
    <w:tbl>
      <w:tblPr>
        <w:tblW w:w="5000" w:type="pct"/>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4367"/>
        <w:gridCol w:w="4367"/>
      </w:tblGrid>
      <w:tr w:rsidR="003053E7" w:rsidRPr="003053E7" w:rsidTr="003053E7">
        <w:tc>
          <w:tcPr>
            <w:tcW w:w="2500" w:type="pct"/>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Custo das mercadorias vendidas: 350.000 x 1.03 = 360.500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Vendas: 785.00 x 1.03 = 808.550</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Fornecimentos e serviços externos: 95.000 x 1.03 = 97.850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Gastos com pessoal: 250.000 x 1.03 = 257.500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Resultado do exercício: 90.000 x 1.026 = 92.340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Perda transposição cambial: 360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b/>
                <w:bCs/>
                <w:color w:val="404040"/>
                <w:sz w:val="24"/>
                <w:szCs w:val="24"/>
                <w:lang w:eastAsia="pt-PT"/>
              </w:rPr>
              <w:t>Total: 808.550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b/>
                <w:bCs/>
                <w:color w:val="404040"/>
                <w:sz w:val="24"/>
                <w:szCs w:val="24"/>
                <w:lang w:eastAsia="pt-PT"/>
              </w:rPr>
              <w:t>Total: 808.550</w:t>
            </w:r>
          </w:p>
        </w:tc>
      </w:tr>
    </w:tbl>
    <w:p w:rsidR="00FE379D" w:rsidRDefault="00FE379D" w:rsidP="00AB0A96">
      <w:pPr>
        <w:spacing w:before="115" w:line="264" w:lineRule="auto"/>
        <w:outlineLvl w:val="2"/>
        <w:rPr>
          <w:rFonts w:ascii="Georgia" w:hAnsi="Georgia" w:cs="Arial"/>
          <w:color w:val="FF0000"/>
          <w:spacing w:val="-12"/>
          <w:sz w:val="42"/>
          <w:szCs w:val="42"/>
        </w:rPr>
      </w:pPr>
      <w:bookmarkStart w:id="25" w:name="_Toc290996400"/>
    </w:p>
    <w:p w:rsidR="003053E7" w:rsidRDefault="003053E7" w:rsidP="00AB0A96">
      <w:pPr>
        <w:spacing w:before="115" w:line="264" w:lineRule="auto"/>
        <w:outlineLvl w:val="2"/>
        <w:rPr>
          <w:rFonts w:ascii="Georgia" w:hAnsi="Georgia" w:cs="Arial"/>
          <w:color w:val="FF0000"/>
          <w:spacing w:val="-12"/>
          <w:sz w:val="42"/>
          <w:szCs w:val="42"/>
        </w:rPr>
      </w:pPr>
      <w:r w:rsidRPr="003053E7">
        <w:rPr>
          <w:rFonts w:ascii="Georgia" w:hAnsi="Georgia" w:cs="Arial"/>
          <w:color w:val="FF0000"/>
          <w:spacing w:val="-12"/>
          <w:sz w:val="42"/>
          <w:szCs w:val="42"/>
        </w:rPr>
        <w:t>NCRF 24 – Acontecimentos após a data do balanço - exemplos e comentários</w:t>
      </w:r>
      <w:bookmarkEnd w:id="25"/>
    </w:p>
    <w:p w:rsidR="003053E7" w:rsidRPr="003053E7" w:rsidRDefault="003053E7" w:rsidP="003053E7">
      <w:pPr>
        <w:spacing w:before="58" w:after="115" w:line="276" w:lineRule="atLeast"/>
        <w:jc w:val="both"/>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A regulamentação no âmbito da norma em SNC – "Acontecimentos após a data do balanço" (base IAS 10), representa uma novidade, no sentido em que o POC não regulava tal matéria.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 objectivo da NCRF 24 é o de explicar em que situação se deve ou não ajustar as demonstrações financeiras em resultado de acontecimentos posteriores à sua data de fecho, e que divulgações devem ser caracterizadas.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são acontecimentos após a data do balanço?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São todos aqueles que ocorrem no período entre a data de balanço e a data de emissão das demonstrações financeiras, autorizadas pelo respectivo órgão de gestão e disponibilizadas ao conhecimento de terceiros.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Atenção: A data que os órgãos de gestão aprovam as DF (depende de entidade para entidade) não se refere exactamente à data em que a Assembleia-Geral as avalia e, eventualmente aprova.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Os acontecimentos podem ser favoráveis e/ou desfavoráveis e podem implicar ajustamentos ou não.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Exemplos de acontecimentos que implicam ajustamentos:</w:t>
      </w:r>
    </w:p>
    <w:p w:rsidR="003053E7" w:rsidRPr="003053E7" w:rsidRDefault="003053E7" w:rsidP="003053E7">
      <w:pPr>
        <w:numPr>
          <w:ilvl w:val="0"/>
          <w:numId w:val="70"/>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Resolução após a data do balanço de uma acção judicial (indica que existia uma obrigação presente); </w:t>
      </w:r>
    </w:p>
    <w:p w:rsidR="003053E7" w:rsidRPr="003053E7" w:rsidRDefault="003053E7" w:rsidP="003053E7">
      <w:pPr>
        <w:numPr>
          <w:ilvl w:val="0"/>
          <w:numId w:val="70"/>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Informação de que um activo estava, à data do balanço, em imparidade. </w:t>
      </w:r>
    </w:p>
    <w:p w:rsidR="003053E7" w:rsidRPr="003053E7" w:rsidRDefault="003053E7" w:rsidP="003053E7">
      <w:pPr>
        <w:numPr>
          <w:ilvl w:val="1"/>
          <w:numId w:val="70"/>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Por exemplo devido à falência de um cliente após a data do balanço. </w:t>
      </w:r>
    </w:p>
    <w:p w:rsidR="003053E7" w:rsidRPr="003053E7" w:rsidRDefault="003053E7" w:rsidP="003053E7">
      <w:pPr>
        <w:numPr>
          <w:ilvl w:val="1"/>
          <w:numId w:val="70"/>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Venda de inventários a um preço inferior ao registado na contabilidade. </w:t>
      </w:r>
    </w:p>
    <w:p w:rsidR="003053E7" w:rsidRPr="003053E7" w:rsidRDefault="003053E7" w:rsidP="003053E7">
      <w:pPr>
        <w:numPr>
          <w:ilvl w:val="0"/>
          <w:numId w:val="70"/>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 descoberta de erros e / ou fraudes voluntárias.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Imagine-se o seguinte cenário ilustrativo: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O grupo de empresas W fechou e aprovou as suas contas em 29/Fevereiro/N, relativas ao exercício N-1. Entretanto o grupo vendeu a subsidiária WZ em 10/Fevereiro/N implicando uma perda de 500.000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As demonstrações financeiras devem ser ajustadas?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Sim! Se o valor do prejuízo for material para o grupo.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Exemplo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Um dos acontecimentos que não implica ajustamentos ocorridos entre a data do balanço e a emissão das DF será uma queda no valor de mercado de investimentos;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Existem ainda determinados factos que devem dar lugar a divulgação, pese embora não serem âmbito de ajustamentos:</w:t>
      </w:r>
    </w:p>
    <w:p w:rsidR="003053E7" w:rsidRPr="003053E7" w:rsidRDefault="003053E7" w:rsidP="003053E7">
      <w:pPr>
        <w:numPr>
          <w:ilvl w:val="0"/>
          <w:numId w:val="71"/>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Objectivo de descontinuar uma unidade operacional; </w:t>
      </w:r>
    </w:p>
    <w:p w:rsidR="003053E7" w:rsidRPr="003053E7" w:rsidRDefault="003053E7" w:rsidP="003053E7">
      <w:pPr>
        <w:numPr>
          <w:ilvl w:val="0"/>
          <w:numId w:val="71"/>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Incêndio das instalações produtivas; </w:t>
      </w:r>
    </w:p>
    <w:p w:rsidR="003053E7" w:rsidRPr="003053E7" w:rsidRDefault="003053E7" w:rsidP="003053E7">
      <w:pPr>
        <w:numPr>
          <w:ilvl w:val="0"/>
          <w:numId w:val="71"/>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Processo de reestruturação, financeira e/ou comercial, ou outras de cariz relevante; etc.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Observações finais</w:t>
      </w:r>
    </w:p>
    <w:p w:rsid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 novo normativo SNC, na estrutura conceptual, evidencia que as entidades deverão preparar as suas demonstrações financeiras na base da continuidade. No entanto, se existirem acontecimentos após a data do balanço que impliquem de certa forma a não continuidade então, as empresas deverão reconhecer uma óptica de liquidação.</w:t>
      </w:r>
    </w:p>
    <w:p w:rsidR="00FE379D" w:rsidRPr="003053E7" w:rsidRDefault="00FE379D" w:rsidP="003053E7">
      <w:pPr>
        <w:spacing w:before="58" w:line="240" w:lineRule="auto"/>
        <w:jc w:val="both"/>
        <w:rPr>
          <w:rFonts w:ascii="Arial" w:eastAsia="Times New Roman" w:hAnsi="Arial" w:cs="Arial"/>
          <w:sz w:val="24"/>
          <w:szCs w:val="24"/>
          <w:lang w:eastAsia="pt-PT"/>
        </w:rPr>
      </w:pPr>
    </w:p>
    <w:p w:rsidR="003053E7" w:rsidRDefault="003053E7" w:rsidP="00AB0A96">
      <w:pPr>
        <w:spacing w:before="115" w:line="264" w:lineRule="auto"/>
        <w:outlineLvl w:val="2"/>
        <w:rPr>
          <w:rFonts w:ascii="Georgia" w:hAnsi="Georgia" w:cs="Arial"/>
          <w:color w:val="FF0000"/>
          <w:spacing w:val="-12"/>
          <w:sz w:val="42"/>
          <w:szCs w:val="42"/>
        </w:rPr>
      </w:pPr>
      <w:bookmarkStart w:id="26" w:name="_Toc290996401"/>
      <w:r w:rsidRPr="003053E7">
        <w:rPr>
          <w:rFonts w:ascii="Georgia" w:hAnsi="Georgia" w:cs="Arial"/>
          <w:color w:val="FF0000"/>
          <w:spacing w:val="-12"/>
          <w:sz w:val="42"/>
          <w:szCs w:val="42"/>
        </w:rPr>
        <w:t>NCRF 25 – Impostos sobre o rendimento - exemplos e comentários</w:t>
      </w:r>
      <w:bookmarkEnd w:id="26"/>
    </w:p>
    <w:p w:rsidR="003053E7" w:rsidRPr="003053E7" w:rsidRDefault="003053E7" w:rsidP="003053E7">
      <w:pPr>
        <w:spacing w:before="58" w:after="115" w:line="276" w:lineRule="atLeast"/>
        <w:jc w:val="both"/>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Esta NCRF 25 (e a directriz contabilística n.º 28) tem como suporte a IAS 12 e divulga as orientações técnicas de registo contabilístico dos impostos sobre o rendimento, nomeadamente:</w:t>
      </w:r>
    </w:p>
    <w:p w:rsidR="003053E7" w:rsidRPr="003053E7" w:rsidRDefault="003053E7" w:rsidP="003053E7">
      <w:pPr>
        <w:numPr>
          <w:ilvl w:val="0"/>
          <w:numId w:val="7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Operações que impliquem a recuperação futura das quantias registadas de activos ou passivos reconhecidos no balanço de uma entidade; </w:t>
      </w:r>
    </w:p>
    <w:p w:rsidR="003053E7" w:rsidRPr="003053E7" w:rsidRDefault="003053E7" w:rsidP="003053E7">
      <w:pPr>
        <w:numPr>
          <w:ilvl w:val="0"/>
          <w:numId w:val="7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Transacções e outras situações ocorridas no período actual que sejam reconhecidas nas demonstrações de uma determinada entidade.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adopção da presente norma inclui a possibilidade de que a recuperação ou liquidação de uma determinada quantia, inerente a activos ou passivos, possibilite no futuro que os pagamentos de impostos sejam maiores ou menores do que supostamente seriam, se tais recuperações e/ou liquidações não existissem (as entidades devem assim reconhecer os activos e passivos por impostos diferidos).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Resumidamente, a norma impõe que as entidades contabilizem os efeitos fiscais inerentes a determinadas transacções com os mesmos critérios e rigor </w:t>
      </w:r>
      <w:r w:rsidRPr="003053E7">
        <w:rPr>
          <w:rFonts w:ascii="Arial" w:eastAsia="Times New Roman" w:hAnsi="Arial" w:cs="Arial"/>
          <w:sz w:val="24"/>
          <w:szCs w:val="24"/>
          <w:lang w:eastAsia="pt-PT"/>
        </w:rPr>
        <w:lastRenderedPageBreak/>
        <w:t>da contabilização dessas mesmas operações (que originaram consequências fiscais).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Efeitos fiscais:</w:t>
      </w:r>
    </w:p>
    <w:p w:rsidR="003053E7" w:rsidRPr="003053E7" w:rsidRDefault="003053E7" w:rsidP="003053E7">
      <w:pPr>
        <w:numPr>
          <w:ilvl w:val="0"/>
          <w:numId w:val="73"/>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Originados por acontecimentos relevados em resultados, devem também ser contabilizados directamente nos resultados; </w:t>
      </w:r>
    </w:p>
    <w:p w:rsidR="003053E7" w:rsidRPr="003053E7" w:rsidRDefault="003053E7" w:rsidP="003053E7">
      <w:pPr>
        <w:numPr>
          <w:ilvl w:val="0"/>
          <w:numId w:val="73"/>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Originados por determinadas operações contabilizadas nos capitais próprios, serão também registados nos capitais próprios.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a norma considera como impostos sobre o rendimento?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Todos os impostos, nacionais ou estrangeiros, provenientes de lucros tributáveis e impostos por retenção (dividendos) transferidos, por uma empresa subsidiária, associada ou empreendimento conjunto, para a empresa detentora da participação.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Operações geradoras de Impostos diferidos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Ocorrem pela existência de diferenças temporárias dedutíveis e/ou tributáveis, pelo reporte de perdas e créditos fiscais não utilizados.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O âmbito da matéria dos impostos diferidos era e continuará a ser de "motivos problemáticos", que provem essencialmente de divergências entre o resultado contabilístico das sociedades e o resultado fiscal.</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Notas: As diferenças entre o conceito de lucro fiscal e contabilístico podem ser definitivas, não consideradas na presente norma.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são diferenças temporárias?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As diferenças temporárias, contabilísticas e fiscais, são todas aquelas susceptíveis de recuperação em períodos futuros.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Existem:</w:t>
      </w:r>
    </w:p>
    <w:p w:rsidR="003053E7" w:rsidRPr="003053E7" w:rsidRDefault="003053E7" w:rsidP="003053E7">
      <w:pPr>
        <w:numPr>
          <w:ilvl w:val="0"/>
          <w:numId w:val="74"/>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Diferenças temporárias tributáveis (resultam de diferenças na determinação do resultado fiscal e que implicarão passivos por impostos diferidos). </w:t>
      </w:r>
    </w:p>
    <w:p w:rsidR="003053E7" w:rsidRPr="003053E7" w:rsidRDefault="003053E7" w:rsidP="003053E7">
      <w:pPr>
        <w:numPr>
          <w:ilvl w:val="0"/>
          <w:numId w:val="74"/>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Diferenças temporárias dedutíveis (resultam de importâncias perecíveis de serem deduzidas na determinação do resultado fiscal de períodos futuros e que implicarão activos por impostos diferidos).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Exemplos de diferenças temporárias tributáveis:</w:t>
      </w:r>
    </w:p>
    <w:p w:rsidR="003053E7" w:rsidRPr="003053E7" w:rsidRDefault="003053E7" w:rsidP="003053E7">
      <w:pPr>
        <w:numPr>
          <w:ilvl w:val="0"/>
          <w:numId w:val="75"/>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Utilização do método da percentagem de acabamento nos contratos de construção, quando superior à percentagem facturada; </w:t>
      </w:r>
    </w:p>
    <w:p w:rsidR="003053E7" w:rsidRPr="003053E7" w:rsidRDefault="003053E7" w:rsidP="003053E7">
      <w:pPr>
        <w:numPr>
          <w:ilvl w:val="0"/>
          <w:numId w:val="75"/>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Quando existem depreciações fiscais diferentes das contabilísticas; </w:t>
      </w:r>
    </w:p>
    <w:p w:rsidR="003053E7" w:rsidRPr="003053E7" w:rsidRDefault="003053E7" w:rsidP="003053E7">
      <w:pPr>
        <w:numPr>
          <w:ilvl w:val="0"/>
          <w:numId w:val="75"/>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Reavaliação de activos, não havendo ajustamento a nível fiscal.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Exemplos de diferenças temporárias dedutíveis:</w:t>
      </w:r>
    </w:p>
    <w:p w:rsidR="003053E7" w:rsidRPr="003053E7" w:rsidRDefault="003053E7" w:rsidP="003053E7">
      <w:pPr>
        <w:numPr>
          <w:ilvl w:val="0"/>
          <w:numId w:val="76"/>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Receitas tributadas antes do reconhecimento a nível contabilístico; </w:t>
      </w:r>
    </w:p>
    <w:p w:rsidR="003053E7" w:rsidRPr="003053E7" w:rsidRDefault="003053E7" w:rsidP="003053E7">
      <w:pPr>
        <w:numPr>
          <w:ilvl w:val="0"/>
          <w:numId w:val="76"/>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Vendas de equipamentos que contratualmente exista obrigação de instalação pelo vendedor. </w:t>
      </w:r>
    </w:p>
    <w:p w:rsidR="003053E7" w:rsidRPr="003053E7" w:rsidRDefault="003053E7" w:rsidP="003053E7">
      <w:pPr>
        <w:numPr>
          <w:ilvl w:val="0"/>
          <w:numId w:val="76"/>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 xml:space="preserve">Provisões constituídas pelas garantias pós-venda. </w:t>
      </w:r>
    </w:p>
    <w:p w:rsidR="003053E7" w:rsidRP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Exemplificação</w:t>
      </w:r>
    </w:p>
    <w:tbl>
      <w:tblPr>
        <w:tblW w:w="5000" w:type="pct"/>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1272"/>
        <w:gridCol w:w="3731"/>
        <w:gridCol w:w="3731"/>
      </w:tblGrid>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b/>
                <w:bCs/>
                <w:color w:val="404040"/>
                <w:sz w:val="24"/>
                <w:szCs w:val="24"/>
                <w:lang w:eastAsia="pt-PT"/>
              </w:rPr>
              <w:t xml:space="preserve">Valor </w:t>
            </w:r>
            <w:proofErr w:type="gramStart"/>
            <w:r w:rsidRPr="003053E7">
              <w:rPr>
                <w:rFonts w:ascii="Arial" w:eastAsia="Times New Roman" w:hAnsi="Arial" w:cs="Arial"/>
                <w:b/>
                <w:bCs/>
                <w:color w:val="404040"/>
                <w:sz w:val="24"/>
                <w:szCs w:val="24"/>
                <w:lang w:eastAsia="pt-PT"/>
              </w:rPr>
              <w:t>contabilístico &gt;</w:t>
            </w:r>
            <w:proofErr w:type="gramEnd"/>
            <w:r w:rsidRPr="003053E7">
              <w:rPr>
                <w:rFonts w:ascii="Arial" w:eastAsia="Times New Roman" w:hAnsi="Arial" w:cs="Arial"/>
                <w:b/>
                <w:bCs/>
                <w:color w:val="404040"/>
                <w:sz w:val="24"/>
                <w:szCs w:val="24"/>
                <w:lang w:eastAsia="pt-PT"/>
              </w:rPr>
              <w:t xml:space="preserve"> Valor fiscal</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b/>
                <w:bCs/>
                <w:color w:val="404040"/>
                <w:sz w:val="24"/>
                <w:szCs w:val="24"/>
                <w:lang w:eastAsia="pt-PT"/>
              </w:rPr>
              <w:t xml:space="preserve">Valor contabilístico </w:t>
            </w:r>
            <w:proofErr w:type="gramStart"/>
            <w:r w:rsidRPr="003053E7">
              <w:rPr>
                <w:rFonts w:ascii="Arial" w:eastAsia="Times New Roman" w:hAnsi="Arial" w:cs="Arial"/>
                <w:b/>
                <w:bCs/>
                <w:color w:val="404040"/>
                <w:sz w:val="24"/>
                <w:szCs w:val="24"/>
                <w:lang w:eastAsia="pt-PT"/>
              </w:rPr>
              <w:t>&lt; Valor</w:t>
            </w:r>
            <w:proofErr w:type="gramEnd"/>
            <w:r w:rsidRPr="003053E7">
              <w:rPr>
                <w:rFonts w:ascii="Arial" w:eastAsia="Times New Roman" w:hAnsi="Arial" w:cs="Arial"/>
                <w:b/>
                <w:bCs/>
                <w:color w:val="404040"/>
                <w:sz w:val="24"/>
                <w:szCs w:val="24"/>
                <w:lang w:eastAsia="pt-PT"/>
              </w:rPr>
              <w:t xml:space="preserve"> fiscal</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b/>
                <w:bCs/>
                <w:color w:val="404040"/>
                <w:sz w:val="24"/>
                <w:szCs w:val="24"/>
                <w:lang w:eastAsia="pt-PT"/>
              </w:rPr>
              <w:t>Activos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Passivo por imposto diferido</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Activo por imposto diferido</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b/>
                <w:bCs/>
                <w:color w:val="404040"/>
                <w:sz w:val="24"/>
                <w:szCs w:val="24"/>
                <w:lang w:eastAsia="pt-PT"/>
              </w:rPr>
              <w:t>Passivos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Activo por imposto diferido</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Passivo por imposto diferido</w:t>
            </w:r>
          </w:p>
        </w:tc>
      </w:tr>
    </w:tbl>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Métodos de contabilização: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Método do imposto a pagar (base de caixa) e método da contabilização dos efeitos tributários (base do acréscimo ou especialização)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Aplicação prática: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Exemplo 1</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empresa (Z) tem prejuízos fiscais de anos anteriores que ascendem a 150.000 euros. Pela projecção dos resultados para os anos seguintes, espera-se a recuperação total, ou seja, estima-se que os lucros tributáveis dos anos seguintes excedam os prejuízos acumulados. Taxa de imposto 12,5%</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Existem impostos diferidos?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Sim! A entidade deverá registar o activo por imposto diferido da seguinte forma: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da conta Activos por impostos diferidos: 150.000 X 12,5% = 18.750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de resultados transitados: 18.750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Exemplo 2</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Imaginemos que a mesma empresa (Z) procedeu à revalorização legal de um equipamento produtivo por 2.500 euros. Como contabilizar a operação pelo método do efeito fiscal?</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Activo tangível equipamento básico: 2.500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Excedentes de revalorização: 2.500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Débito Excedentes de revalorização: 2.500 * 12,5% = 312,50 </w:t>
      </w:r>
      <w:proofErr w:type="spellStart"/>
      <w:r w:rsidRPr="003053E7">
        <w:rPr>
          <w:rFonts w:ascii="Arial" w:eastAsia="Times New Roman" w:hAnsi="Arial" w:cs="Arial"/>
          <w:sz w:val="24"/>
          <w:szCs w:val="24"/>
          <w:lang w:eastAsia="pt-PT"/>
        </w:rPr>
        <w:t>eurosCrédito</w:t>
      </w:r>
      <w:proofErr w:type="spellEnd"/>
      <w:r w:rsidRPr="003053E7">
        <w:rPr>
          <w:rFonts w:ascii="Arial" w:eastAsia="Times New Roman" w:hAnsi="Arial" w:cs="Arial"/>
          <w:sz w:val="24"/>
          <w:szCs w:val="24"/>
          <w:lang w:eastAsia="pt-PT"/>
        </w:rPr>
        <w:t xml:space="preserve"> Passivos por impostos diferidos: 312,50 euros</w:t>
      </w:r>
    </w:p>
    <w:p w:rsid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Passivos por impostos diferidos: 312,50 euros</w:t>
      </w:r>
    </w:p>
    <w:p w:rsidR="00FE379D" w:rsidRPr="00FE379D" w:rsidRDefault="00FE379D" w:rsidP="003053E7">
      <w:pPr>
        <w:spacing w:before="58" w:line="240" w:lineRule="auto"/>
        <w:jc w:val="both"/>
        <w:rPr>
          <w:rFonts w:ascii="Arial" w:eastAsia="Times New Roman" w:hAnsi="Arial" w:cs="Arial"/>
          <w:szCs w:val="24"/>
          <w:lang w:eastAsia="pt-PT"/>
        </w:rPr>
      </w:pPr>
    </w:p>
    <w:p w:rsidR="003053E7" w:rsidRPr="00FE379D" w:rsidRDefault="003053E7" w:rsidP="00AB0A96">
      <w:pPr>
        <w:spacing w:before="115" w:line="264" w:lineRule="auto"/>
        <w:outlineLvl w:val="2"/>
        <w:rPr>
          <w:rFonts w:ascii="Georgia" w:hAnsi="Georgia" w:cs="Arial"/>
          <w:color w:val="FF0000"/>
          <w:spacing w:val="-12"/>
          <w:sz w:val="40"/>
          <w:szCs w:val="42"/>
        </w:rPr>
      </w:pPr>
      <w:bookmarkStart w:id="27" w:name="_Toc290996402"/>
      <w:r w:rsidRPr="00FE379D">
        <w:rPr>
          <w:rFonts w:ascii="Georgia" w:hAnsi="Georgia" w:cs="Arial"/>
          <w:color w:val="FF0000"/>
          <w:spacing w:val="-12"/>
          <w:sz w:val="40"/>
          <w:szCs w:val="42"/>
        </w:rPr>
        <w:t>NCRF 26 – Matérias ambientais - exemplos e comentários</w:t>
      </w:r>
      <w:bookmarkEnd w:id="27"/>
    </w:p>
    <w:p w:rsidR="003053E7" w:rsidRPr="003053E7" w:rsidRDefault="003053E7" w:rsidP="003053E7">
      <w:pPr>
        <w:spacing w:before="58" w:after="115" w:line="276" w:lineRule="atLeast"/>
        <w:jc w:val="both"/>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A NCRF 26 baseia-se na recomendação da Comissão Europeia de 30 Maio de 2001, e caracteriza-se pelas políticas a serem seguidas no que concerne às operações relacionadas com matérias de cariz ambiental.</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norma abrange:</w:t>
      </w:r>
    </w:p>
    <w:p w:rsidR="003053E7" w:rsidRPr="003053E7" w:rsidRDefault="003053E7" w:rsidP="003053E7">
      <w:pPr>
        <w:numPr>
          <w:ilvl w:val="0"/>
          <w:numId w:val="77"/>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 xml:space="preserve">As operações resultantes de despesas ambientais; </w:t>
      </w:r>
    </w:p>
    <w:p w:rsidR="003053E7" w:rsidRPr="003053E7" w:rsidRDefault="003053E7" w:rsidP="003053E7">
      <w:pPr>
        <w:numPr>
          <w:ilvl w:val="0"/>
          <w:numId w:val="77"/>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Activos; passivos e riscos relacionados com matérias ambientais; </w:t>
      </w:r>
    </w:p>
    <w:p w:rsidR="003053E7" w:rsidRPr="003053E7" w:rsidRDefault="003053E7" w:rsidP="003053E7">
      <w:pPr>
        <w:numPr>
          <w:ilvl w:val="0"/>
          <w:numId w:val="77"/>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Identifica o tipo de informações (ambientais) que as entidades devem reconhecer nas suas demonstrações financeiras e no relatório de gestão das entidades.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incorpora as matérias ambientais?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Todas as operações que surjam relacionadas:</w:t>
      </w:r>
    </w:p>
    <w:p w:rsidR="003053E7" w:rsidRPr="003053E7" w:rsidRDefault="003053E7" w:rsidP="003053E7">
      <w:pPr>
        <w:numPr>
          <w:ilvl w:val="0"/>
          <w:numId w:val="78"/>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Meio físico natural: </w:t>
      </w:r>
    </w:p>
    <w:p w:rsidR="003053E7" w:rsidRPr="003053E7" w:rsidRDefault="003053E7" w:rsidP="003053E7">
      <w:pPr>
        <w:numPr>
          <w:ilvl w:val="1"/>
          <w:numId w:val="78"/>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Ar; </w:t>
      </w:r>
    </w:p>
    <w:p w:rsidR="003053E7" w:rsidRPr="003053E7" w:rsidRDefault="003053E7" w:rsidP="003053E7">
      <w:pPr>
        <w:numPr>
          <w:ilvl w:val="1"/>
          <w:numId w:val="78"/>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Água; </w:t>
      </w:r>
    </w:p>
    <w:p w:rsidR="003053E7" w:rsidRPr="003053E7" w:rsidRDefault="003053E7" w:rsidP="003053E7">
      <w:pPr>
        <w:numPr>
          <w:ilvl w:val="1"/>
          <w:numId w:val="78"/>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Terra; </w:t>
      </w:r>
    </w:p>
    <w:p w:rsidR="003053E7" w:rsidRPr="003053E7" w:rsidRDefault="003053E7" w:rsidP="003053E7">
      <w:pPr>
        <w:numPr>
          <w:ilvl w:val="1"/>
          <w:numId w:val="78"/>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Flora; </w:t>
      </w:r>
    </w:p>
    <w:p w:rsidR="003053E7" w:rsidRPr="003053E7" w:rsidRDefault="003053E7" w:rsidP="003053E7">
      <w:pPr>
        <w:numPr>
          <w:ilvl w:val="1"/>
          <w:numId w:val="78"/>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Fauna; </w:t>
      </w:r>
    </w:p>
    <w:p w:rsidR="003053E7" w:rsidRPr="003053E7" w:rsidRDefault="003053E7" w:rsidP="003053E7">
      <w:pPr>
        <w:numPr>
          <w:ilvl w:val="0"/>
          <w:numId w:val="78"/>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Recursos naturais: </w:t>
      </w:r>
    </w:p>
    <w:p w:rsidR="003053E7" w:rsidRPr="003053E7" w:rsidRDefault="003053E7" w:rsidP="003053E7">
      <w:pPr>
        <w:numPr>
          <w:ilvl w:val="1"/>
          <w:numId w:val="78"/>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Combustíveis fósseis e os minerais.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são dispêndios de natureza ambiental?</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Representam todas as despesas necessárias para minimizar ou evitar danos ambientais.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Como por exemplo:</w:t>
      </w:r>
    </w:p>
    <w:p w:rsidR="003053E7" w:rsidRPr="003053E7" w:rsidRDefault="003053E7" w:rsidP="003053E7">
      <w:pPr>
        <w:numPr>
          <w:ilvl w:val="0"/>
          <w:numId w:val="7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Eliminação de resíduos (desde o transporte ao tratamento, até à eliminação dos resíduos); </w:t>
      </w:r>
    </w:p>
    <w:p w:rsidR="003053E7" w:rsidRPr="003053E7" w:rsidRDefault="003053E7" w:rsidP="003053E7">
      <w:pPr>
        <w:numPr>
          <w:ilvl w:val="0"/>
          <w:numId w:val="7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Preservação do ar; </w:t>
      </w:r>
    </w:p>
    <w:p w:rsidR="003053E7" w:rsidRPr="003053E7" w:rsidRDefault="003053E7" w:rsidP="003053E7">
      <w:pPr>
        <w:numPr>
          <w:ilvl w:val="0"/>
          <w:numId w:val="7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Redução de ruído; </w:t>
      </w:r>
    </w:p>
    <w:p w:rsidR="003053E7" w:rsidRPr="003053E7" w:rsidRDefault="003053E7" w:rsidP="003053E7">
      <w:pPr>
        <w:numPr>
          <w:ilvl w:val="0"/>
          <w:numId w:val="79"/>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Protecção do ambiente; etc.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Nota importante: Os gastos consequentes de multas ou outras penalidades e/ou indemnizações, impostas pelo não cumprimento de determinadas regras ambientais, não são consideradas como gastos de natureza ambiental.</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Como devem ser reconhecidos os gastos ambientais?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Se cumprirem os requisitos essenciais para serem relevados como um activo, neste caso ambiental, será registado como tal, senão deve ser incluído como gasto do respectivo período. Ainda que os gastos se relacionem com danos de exercícios anteriores, os mesmos devem ser contabilizados como gasto do exercício corrente (não como ajustamentos de exercícios anteriores).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Que informação a nível ambiental deve o relatório gestão e o anexo descrever?</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Sempre que existirem matérias ambientais importantes para o desenvolvimento e /ou desempenho económico de uma determinada entidade, a mesma deve, entre outras informações, clarificar no relatório de gestão quais as políticas ambientais escolhidas e indicar a obrigação, ou não, devido à actividade desenvolvida, do cumprimento de determinadas certificações (exemplo: ISO 14001 – Certificação ambiental).</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Particularmente, o anexo deverá incluir a informação sobre a existência de provisões de carácter ambiental; eventuais subsídios obtidos, bem como a caracterização dos activos e passivos ambientais.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Observações finais</w:t>
      </w:r>
    </w:p>
    <w:p w:rsid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Existem problemas ambientais, quer nos países desenvolvidos ou subdesenvolvidos, ou seja, é algo de carácter mundial. Como tal, a presente norma releva-se de máxima importância no sentido de obrigar as entidades a preocuparem-se, não só com a eficiência dos sistemas produtivos, mas também com um conjunto de medidas para controlar o contágio ambiental.</w:t>
      </w:r>
    </w:p>
    <w:p w:rsidR="00FE379D" w:rsidRPr="003053E7" w:rsidRDefault="00FE379D" w:rsidP="003053E7">
      <w:pPr>
        <w:spacing w:before="58" w:line="240" w:lineRule="auto"/>
        <w:jc w:val="both"/>
        <w:rPr>
          <w:rFonts w:ascii="Arial" w:eastAsia="Times New Roman" w:hAnsi="Arial" w:cs="Arial"/>
          <w:sz w:val="24"/>
          <w:szCs w:val="24"/>
          <w:lang w:eastAsia="pt-PT"/>
        </w:rPr>
      </w:pPr>
    </w:p>
    <w:p w:rsidR="003053E7" w:rsidRPr="003053E7" w:rsidRDefault="003053E7" w:rsidP="003053E7">
      <w:pPr>
        <w:spacing w:before="115" w:line="264" w:lineRule="auto"/>
        <w:outlineLvl w:val="2"/>
        <w:rPr>
          <w:rFonts w:ascii="Georgia" w:eastAsia="Times New Roman" w:hAnsi="Georgia" w:cs="Arial"/>
          <w:color w:val="FF0000"/>
          <w:spacing w:val="-12"/>
          <w:sz w:val="42"/>
          <w:szCs w:val="42"/>
          <w:lang w:eastAsia="pt-PT"/>
        </w:rPr>
      </w:pPr>
      <w:bookmarkStart w:id="28" w:name="_Toc290996403"/>
      <w:r w:rsidRPr="003053E7">
        <w:rPr>
          <w:rFonts w:ascii="Georgia" w:eastAsia="Times New Roman" w:hAnsi="Georgia" w:cs="Arial"/>
          <w:color w:val="FF0000"/>
          <w:spacing w:val="-12"/>
          <w:sz w:val="42"/>
          <w:szCs w:val="42"/>
          <w:lang w:eastAsia="pt-PT"/>
        </w:rPr>
        <w:t>NCRF 27 – Instrumentos financeiros - exemplos e comentários</w:t>
      </w:r>
      <w:bookmarkEnd w:id="28"/>
      <w:r w:rsidRPr="003053E7">
        <w:rPr>
          <w:rFonts w:ascii="Georgia" w:eastAsia="Times New Roman" w:hAnsi="Georgia" w:cs="Arial"/>
          <w:color w:val="FF0000"/>
          <w:spacing w:val="-12"/>
          <w:sz w:val="42"/>
          <w:szCs w:val="42"/>
          <w:lang w:eastAsia="pt-PT"/>
        </w:rPr>
        <w:t xml:space="preserve"> </w:t>
      </w:r>
    </w:p>
    <w:p w:rsidR="003053E7" w:rsidRPr="003053E7" w:rsidRDefault="003053E7" w:rsidP="003053E7">
      <w:pPr>
        <w:spacing w:before="58" w:after="115" w:line="276" w:lineRule="atLeast"/>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Esta norma contabilística reúne os conceitos de três diplomas: a IAS 32 – Instrumentos financeiros - Apresentação; a IAS 39 – Instrumentos financeiros – Reconhecimento e a IFRS 7 – Instrumentos financeiros Divulgação.</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Exclusões do âmbito da NCRF 27:</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A norma retrata todos os investimentos financeiros, com excepção:</w:t>
      </w:r>
    </w:p>
    <w:p w:rsidR="003053E7" w:rsidRPr="003053E7" w:rsidRDefault="003053E7" w:rsidP="003053E7">
      <w:pPr>
        <w:numPr>
          <w:ilvl w:val="0"/>
          <w:numId w:val="80"/>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Investimentos em subsidiárias, associadas e empreendimentos conjuntos; </w:t>
      </w:r>
    </w:p>
    <w:p w:rsidR="003053E7" w:rsidRPr="003053E7" w:rsidRDefault="003053E7" w:rsidP="003053E7">
      <w:pPr>
        <w:numPr>
          <w:ilvl w:val="0"/>
          <w:numId w:val="80"/>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Direitos e obrigações no âmbito dos benefícios a empregados; </w:t>
      </w:r>
    </w:p>
    <w:p w:rsidR="003053E7" w:rsidRPr="003053E7" w:rsidRDefault="003053E7" w:rsidP="003053E7">
      <w:pPr>
        <w:numPr>
          <w:ilvl w:val="0"/>
          <w:numId w:val="80"/>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Direitos provenientes de contrato de seguro (em algumas situações específicas); </w:t>
      </w:r>
    </w:p>
    <w:p w:rsidR="003053E7" w:rsidRPr="003053E7" w:rsidRDefault="003053E7" w:rsidP="003053E7">
      <w:pPr>
        <w:numPr>
          <w:ilvl w:val="0"/>
          <w:numId w:val="80"/>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Locações (algumas situações de natureza específica podem ser incluídas nesta norma). </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é um activo financeiro?</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Um activo financeiro pode subsistir sob a forma:</w:t>
      </w:r>
    </w:p>
    <w:p w:rsidR="003053E7" w:rsidRPr="003053E7" w:rsidRDefault="003053E7" w:rsidP="003053E7">
      <w:pPr>
        <w:numPr>
          <w:ilvl w:val="0"/>
          <w:numId w:val="81"/>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Dinheiro; </w:t>
      </w:r>
    </w:p>
    <w:p w:rsidR="003053E7" w:rsidRPr="003053E7" w:rsidRDefault="003053E7" w:rsidP="003053E7">
      <w:pPr>
        <w:numPr>
          <w:ilvl w:val="0"/>
          <w:numId w:val="81"/>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Um instrumento de capital próprio de uma outra entidade; </w:t>
      </w:r>
    </w:p>
    <w:p w:rsidR="003053E7" w:rsidRPr="003053E7" w:rsidRDefault="003053E7" w:rsidP="003053E7">
      <w:pPr>
        <w:numPr>
          <w:ilvl w:val="0"/>
          <w:numId w:val="81"/>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Um direito contratual: </w:t>
      </w:r>
    </w:p>
    <w:p w:rsidR="003053E7" w:rsidRPr="003053E7" w:rsidRDefault="003053E7" w:rsidP="003053E7">
      <w:pPr>
        <w:numPr>
          <w:ilvl w:val="1"/>
          <w:numId w:val="81"/>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De receber dinheiro ou outro activo financeiro de uma outra entidade; </w:t>
      </w:r>
    </w:p>
    <w:p w:rsidR="003053E7" w:rsidRPr="003053E7" w:rsidRDefault="003053E7" w:rsidP="003053E7">
      <w:pPr>
        <w:numPr>
          <w:ilvl w:val="1"/>
          <w:numId w:val="81"/>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De trocar activos ou passivos financeiros de forma favorável para a entidade; </w:t>
      </w:r>
    </w:p>
    <w:p w:rsidR="003053E7" w:rsidRPr="003053E7" w:rsidRDefault="003053E7" w:rsidP="003053E7">
      <w:pPr>
        <w:numPr>
          <w:ilvl w:val="1"/>
          <w:numId w:val="81"/>
        </w:numPr>
        <w:spacing w:before="100" w:beforeAutospacing="1" w:after="100" w:afterAutospacing="1" w:line="240" w:lineRule="auto"/>
        <w:ind w:left="863"/>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Um contrato que possa ser liquidado em instrumentos de capital próprio da própria entidade. </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se entende por passivo financeiro?</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Incorpora uma obrigação definida contratualmente de entregar dinheiro ou outro instrumento financeiro a uma outra entidade.</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se significa instrumento de capital próprio?</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Representa um potencial interesse, viabilizado sob a forma de contrato, nos activos restantes de determinada empresa após a subtracção de todos os passivos.</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Exemplo de instrumentos de capital próprio: Acções próprias (subtraem ao capital próprio).</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são derivados?</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É uma ferramenta de carácter financeiro cujo preço varia em função de oscilações de uma taxa de juro, preço, </w:t>
      </w:r>
      <w:proofErr w:type="spellStart"/>
      <w:r w:rsidRPr="003053E7">
        <w:rPr>
          <w:rFonts w:ascii="Arial" w:eastAsia="Times New Roman" w:hAnsi="Arial" w:cs="Arial"/>
          <w:sz w:val="24"/>
          <w:szCs w:val="24"/>
          <w:lang w:eastAsia="pt-PT"/>
        </w:rPr>
        <w:t>rating</w:t>
      </w:r>
      <w:proofErr w:type="spellEnd"/>
      <w:r w:rsidRPr="003053E7">
        <w:rPr>
          <w:rFonts w:ascii="Arial" w:eastAsia="Times New Roman" w:hAnsi="Arial" w:cs="Arial"/>
          <w:sz w:val="24"/>
          <w:szCs w:val="24"/>
          <w:lang w:eastAsia="pt-PT"/>
        </w:rPr>
        <w:t xml:space="preserve"> de crédito. Não incorporam investimento inicial ou incorporam um valor reduzido e são para liquidação em data futura.</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b/>
          <w:bCs/>
          <w:sz w:val="24"/>
          <w:szCs w:val="24"/>
          <w:lang w:eastAsia="pt-PT"/>
        </w:rPr>
        <w:t>Mensuração dos activos e passivos financeiros:</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A presente norma considera que todos os activos e passivos financeiros, em cada relato, devem ser reclassificados:</w:t>
      </w:r>
    </w:p>
    <w:p w:rsidR="003053E7" w:rsidRPr="003053E7" w:rsidRDefault="003053E7" w:rsidP="003053E7">
      <w:pPr>
        <w:numPr>
          <w:ilvl w:val="0"/>
          <w:numId w:val="8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Ao custo ou custo amortizado deduzido de qualquer perda de imparidade. Como por exemplo: perdas por imparidade de clientes, fornecedores, contas a receber e/ou pagar ou empréstimos bancários; </w:t>
      </w:r>
    </w:p>
    <w:p w:rsidR="003053E7" w:rsidRPr="003053E7" w:rsidRDefault="003053E7" w:rsidP="003053E7">
      <w:pPr>
        <w:numPr>
          <w:ilvl w:val="0"/>
          <w:numId w:val="82"/>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Ao justo valor (as alterações devem ser imputadas na demonstração de resultados). Como por exemplo: investimentos em instrumentos de capital próprio com cotações divulgadas ao público em geral; derivados (que não sejam instrumentos de capital próprio); Obrigações convertíveis; etc. </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b/>
          <w:bCs/>
          <w:sz w:val="24"/>
          <w:szCs w:val="24"/>
          <w:lang w:eastAsia="pt-PT"/>
        </w:rPr>
        <w:t>Caso prático 1:</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A sociedade C comprou obrigações com as seguintes condições particulares:</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Total compra: 5.000 euros;</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Valor nominal: 5.366,31 euros;</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Maturidade: 5 anos;</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Valor Reembolso = valor nominal</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Taxa de cupão = 8%</w:t>
      </w:r>
    </w:p>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Taxa efectiva: 10%</w:t>
      </w:r>
    </w:p>
    <w:p w:rsidR="003053E7" w:rsidRPr="003053E7" w:rsidRDefault="003053E7" w:rsidP="003053E7">
      <w:pPr>
        <w:spacing w:before="58" w:line="240" w:lineRule="auto"/>
        <w:rPr>
          <w:rFonts w:ascii="Arial" w:eastAsia="Times New Roman" w:hAnsi="Arial" w:cs="Arial"/>
          <w:sz w:val="24"/>
          <w:szCs w:val="24"/>
          <w:lang w:eastAsia="pt-PT"/>
        </w:rPr>
      </w:pPr>
      <w:r w:rsidRPr="003053E7">
        <w:rPr>
          <w:rFonts w:ascii="Arial" w:eastAsia="Times New Roman" w:hAnsi="Arial" w:cs="Arial"/>
          <w:sz w:val="24"/>
          <w:szCs w:val="24"/>
          <w:lang w:eastAsia="pt-PT"/>
        </w:rPr>
        <w:t>Reembolso total no último ano.</w:t>
      </w:r>
    </w:p>
    <w:tbl>
      <w:tblPr>
        <w:tblW w:w="5000" w:type="pct"/>
        <w:tblBorders>
          <w:top w:val="single" w:sz="4" w:space="0" w:color="D9D9D9"/>
          <w:left w:val="single" w:sz="4" w:space="0" w:color="D9D9D9"/>
          <w:bottom w:val="single" w:sz="4" w:space="0" w:color="D9D9D9"/>
          <w:right w:val="single" w:sz="4" w:space="0" w:color="D9D9D9"/>
        </w:tblBorders>
        <w:shd w:val="clear" w:color="auto" w:fill="FFFFFF"/>
        <w:tblCellMar>
          <w:top w:w="15" w:type="dxa"/>
          <w:left w:w="15" w:type="dxa"/>
          <w:bottom w:w="15" w:type="dxa"/>
          <w:right w:w="15" w:type="dxa"/>
        </w:tblCellMar>
        <w:tblLook w:val="04A0"/>
      </w:tblPr>
      <w:tblGrid>
        <w:gridCol w:w="660"/>
        <w:gridCol w:w="2115"/>
        <w:gridCol w:w="2276"/>
        <w:gridCol w:w="2002"/>
        <w:gridCol w:w="1681"/>
      </w:tblGrid>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Ano</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Custo amortizado</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Rendimentos (10%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Juros</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Amortização</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5.000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0</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1</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5.060 (5.000+60)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w:t>
            </w:r>
            <w:proofErr w:type="gramStart"/>
            <w:r w:rsidRPr="003053E7">
              <w:rPr>
                <w:rFonts w:ascii="Arial" w:eastAsia="Times New Roman" w:hAnsi="Arial" w:cs="Arial"/>
                <w:color w:val="404040"/>
                <w:sz w:val="24"/>
                <w:szCs w:val="24"/>
                <w:lang w:eastAsia="pt-PT"/>
              </w:rPr>
              <w:t>000x10%)=500</w:t>
            </w:r>
            <w:proofErr w:type="gramEnd"/>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w:t>
            </w:r>
            <w:proofErr w:type="gramStart"/>
            <w:r w:rsidRPr="003053E7">
              <w:rPr>
                <w:rFonts w:ascii="Arial" w:eastAsia="Times New Roman" w:hAnsi="Arial" w:cs="Arial"/>
                <w:color w:val="404040"/>
                <w:sz w:val="24"/>
                <w:szCs w:val="24"/>
                <w:lang w:eastAsia="pt-PT"/>
              </w:rPr>
              <w:t>500x8%)=440</w:t>
            </w:r>
            <w:proofErr w:type="gramEnd"/>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proofErr w:type="gramStart"/>
            <w:r w:rsidRPr="003053E7">
              <w:rPr>
                <w:rFonts w:ascii="Arial" w:eastAsia="Times New Roman" w:hAnsi="Arial" w:cs="Arial"/>
                <w:color w:val="404040"/>
                <w:sz w:val="24"/>
                <w:szCs w:val="24"/>
                <w:lang w:eastAsia="pt-PT"/>
              </w:rPr>
              <w:t>(500-440)=60</w:t>
            </w:r>
            <w:proofErr w:type="gramEnd"/>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2</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5.126</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506</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440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66</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3</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5.198,60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512,60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440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72,60</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4</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5.278,46</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519,86</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440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79,86</w:t>
            </w:r>
          </w:p>
        </w:tc>
      </w:tr>
      <w:tr w:rsidR="003053E7" w:rsidRPr="003053E7" w:rsidTr="003053E7">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5.366,31</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527,85</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440</w:t>
            </w:r>
          </w:p>
        </w:tc>
        <w:tc>
          <w:tcPr>
            <w:tcW w:w="0" w:type="auto"/>
            <w:tcBorders>
              <w:top w:val="dashed" w:sz="4" w:space="0" w:color="E5E5E5"/>
              <w:left w:val="dashed" w:sz="4" w:space="0" w:color="E5E5E5"/>
              <w:bottom w:val="dashed" w:sz="4" w:space="0" w:color="E5E5E5"/>
              <w:right w:val="dashed" w:sz="4" w:space="0" w:color="E5E5E5"/>
            </w:tcBorders>
            <w:shd w:val="clear" w:color="auto" w:fill="FFFFFF"/>
            <w:tcMar>
              <w:top w:w="58" w:type="dxa"/>
              <w:left w:w="115" w:type="dxa"/>
              <w:bottom w:w="58" w:type="dxa"/>
              <w:right w:w="115" w:type="dxa"/>
            </w:tcMar>
            <w:hideMark/>
          </w:tcPr>
          <w:p w:rsidR="003053E7" w:rsidRPr="003053E7" w:rsidRDefault="003053E7" w:rsidP="003053E7">
            <w:pPr>
              <w:spacing w:after="0" w:line="240" w:lineRule="auto"/>
              <w:rPr>
                <w:rFonts w:ascii="Arial" w:eastAsia="Times New Roman" w:hAnsi="Arial" w:cs="Arial"/>
                <w:color w:val="404040"/>
                <w:sz w:val="24"/>
                <w:szCs w:val="24"/>
                <w:lang w:eastAsia="pt-PT"/>
              </w:rPr>
            </w:pPr>
            <w:r w:rsidRPr="003053E7">
              <w:rPr>
                <w:rFonts w:ascii="Arial" w:eastAsia="Times New Roman" w:hAnsi="Arial" w:cs="Arial"/>
                <w:color w:val="404040"/>
                <w:sz w:val="24"/>
                <w:szCs w:val="24"/>
                <w:lang w:eastAsia="pt-PT"/>
              </w:rPr>
              <w:t>87,85</w:t>
            </w:r>
          </w:p>
        </w:tc>
      </w:tr>
    </w:tbl>
    <w:p w:rsidR="003053E7" w:rsidRPr="003053E7" w:rsidRDefault="003053E7" w:rsidP="003053E7">
      <w:pPr>
        <w:spacing w:before="58" w:after="115" w:line="240" w:lineRule="auto"/>
        <w:rPr>
          <w:rFonts w:ascii="Arial" w:eastAsia="Times New Roman" w:hAnsi="Arial" w:cs="Arial"/>
          <w:sz w:val="24"/>
          <w:szCs w:val="24"/>
          <w:lang w:eastAsia="pt-PT"/>
        </w:rPr>
      </w:pPr>
      <w:r w:rsidRPr="003053E7">
        <w:rPr>
          <w:rFonts w:ascii="Arial" w:eastAsia="Times New Roman" w:hAnsi="Arial" w:cs="Arial"/>
          <w:b/>
          <w:bCs/>
          <w:sz w:val="24"/>
          <w:szCs w:val="24"/>
          <w:lang w:eastAsia="pt-PT"/>
        </w:rPr>
        <w:t>Movimentação contabilística: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Pela compra da obrigação: Débito – Investimentos financeiros: 5.000 euros e crédito da conta bancos: 5.000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Pelos rendimentos 1º ano: Débito conta bancos: 440; débito investimentos financeiros: 60 e crédito outros ganhos: 500...</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Pelos rendimentos 2º ano até ao 4º (exactamente segundo o mesmo raciocínio).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Na maturidade (5º ano): Débito de bancos: 5.366,31 euros e crédito investimentos financeiros: 5.366,31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Caso prático 2</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empresa ABC compra por 5.000.000 euros acções da sociedade imobiliária X. O objectivo é vender no ano seguinte.</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Aquando da compra: valor de mercado das acções: 5.200.000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Como contabilizar?</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Na compra: Débito de instrumentos financeiros: 5.000.000 euros e crédito bancos: 5.000.000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Na data de relato financeiro (31/Dezembro/na compra):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de instrumentos financeiros: 200.000. euros e créditos ganhos por justo valor: 200.000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Na data da venda as acções acabaram por ser alienadas por 5.150.000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instrumentos financeiros: 5.200.000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bancos: 5.150.000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de outros gastos e perdas em instrumentos financeiros: 50.000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Notas conclusivas</w:t>
      </w:r>
    </w:p>
    <w:p w:rsid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NCRF 27 torna-se bastante importante, uma vez que reúne, para além dos casos enumerados, situações bastante comuns a praticamente todas as empresas, tais como: perdas por imparidade de clientes; derivados "tradicionais" como os swaps e as diferentes coberturas de risco.</w:t>
      </w:r>
    </w:p>
    <w:p w:rsidR="00FE379D" w:rsidRPr="003053E7" w:rsidRDefault="00FE379D" w:rsidP="003053E7">
      <w:pPr>
        <w:spacing w:before="58" w:line="240" w:lineRule="auto"/>
        <w:jc w:val="both"/>
        <w:rPr>
          <w:rFonts w:ascii="Arial" w:eastAsia="Times New Roman" w:hAnsi="Arial" w:cs="Arial"/>
          <w:sz w:val="24"/>
          <w:szCs w:val="24"/>
          <w:lang w:eastAsia="pt-PT"/>
        </w:rPr>
      </w:pPr>
    </w:p>
    <w:p w:rsidR="003053E7" w:rsidRDefault="003053E7" w:rsidP="00AB0A96">
      <w:pPr>
        <w:spacing w:before="115" w:line="264" w:lineRule="auto"/>
        <w:outlineLvl w:val="2"/>
        <w:rPr>
          <w:rFonts w:ascii="Georgia" w:hAnsi="Georgia" w:cs="Arial"/>
          <w:color w:val="FF0000"/>
          <w:spacing w:val="-12"/>
          <w:sz w:val="42"/>
          <w:szCs w:val="42"/>
        </w:rPr>
      </w:pPr>
      <w:bookmarkStart w:id="29" w:name="_Toc290996404"/>
      <w:r w:rsidRPr="003053E7">
        <w:rPr>
          <w:rFonts w:ascii="Georgia" w:hAnsi="Georgia" w:cs="Arial"/>
          <w:color w:val="FF0000"/>
          <w:spacing w:val="-12"/>
          <w:sz w:val="42"/>
          <w:szCs w:val="42"/>
        </w:rPr>
        <w:t>NCRF 28 – Benefícios dos empregados - exemplos e comentários</w:t>
      </w:r>
      <w:bookmarkEnd w:id="29"/>
    </w:p>
    <w:p w:rsidR="003053E7" w:rsidRPr="003053E7" w:rsidRDefault="003053E7" w:rsidP="003053E7">
      <w:pPr>
        <w:spacing w:before="58" w:after="115" w:line="276" w:lineRule="atLeast"/>
        <w:jc w:val="both"/>
        <w:rPr>
          <w:rFonts w:ascii="Arial" w:eastAsia="Times New Roman" w:hAnsi="Arial" w:cs="Arial"/>
          <w:b/>
          <w:bCs/>
          <w:color w:val="444444"/>
          <w:sz w:val="21"/>
          <w:szCs w:val="21"/>
          <w:lang w:eastAsia="pt-PT"/>
        </w:rPr>
      </w:pPr>
      <w:r w:rsidRPr="003053E7">
        <w:rPr>
          <w:rFonts w:ascii="Arial" w:eastAsia="Times New Roman" w:hAnsi="Arial" w:cs="Arial"/>
          <w:b/>
          <w:bCs/>
          <w:color w:val="444444"/>
          <w:sz w:val="21"/>
          <w:szCs w:val="21"/>
          <w:lang w:eastAsia="pt-PT"/>
        </w:rPr>
        <w:t>Transcrita da IAS 19, esta norma basicamente impõem que as entidades reconheçam:</w:t>
      </w:r>
    </w:p>
    <w:p w:rsidR="003053E7" w:rsidRPr="003053E7" w:rsidRDefault="003053E7" w:rsidP="003053E7">
      <w:pPr>
        <w:numPr>
          <w:ilvl w:val="0"/>
          <w:numId w:val="83"/>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Um passivo sempre que um empregado, em troca de benefícios futuros, tenha prestado os seus serviços, ainda que sejam liquidados no futuro; </w:t>
      </w:r>
    </w:p>
    <w:p w:rsidR="003053E7" w:rsidRPr="003053E7" w:rsidRDefault="003053E7" w:rsidP="003053E7">
      <w:pPr>
        <w:numPr>
          <w:ilvl w:val="0"/>
          <w:numId w:val="83"/>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Um gasto quando a entidade consumir o benefício inerente ao serviço prestado pelo trabalhador.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Quais os benefícios que a norma abarca?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lastRenderedPageBreak/>
        <w:t>A norma inclui no seu âmbito de actuação:</w:t>
      </w:r>
    </w:p>
    <w:p w:rsidR="003053E7" w:rsidRPr="003053E7" w:rsidRDefault="003053E7" w:rsidP="003053E7">
      <w:pPr>
        <w:numPr>
          <w:ilvl w:val="0"/>
          <w:numId w:val="84"/>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Acordos formais entre as entidades e os empregados, grupos de empregados e/ou representantes; </w:t>
      </w:r>
    </w:p>
    <w:p w:rsidR="003053E7" w:rsidRPr="003053E7" w:rsidRDefault="003053E7" w:rsidP="003053E7">
      <w:pPr>
        <w:numPr>
          <w:ilvl w:val="0"/>
          <w:numId w:val="84"/>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Acordos sectoriais em que se exige às entidades a contribuição de planos nacionais, ou estatais; </w:t>
      </w:r>
    </w:p>
    <w:p w:rsidR="003053E7" w:rsidRPr="003053E7" w:rsidRDefault="003053E7" w:rsidP="003053E7">
      <w:pPr>
        <w:numPr>
          <w:ilvl w:val="0"/>
          <w:numId w:val="84"/>
        </w:numPr>
        <w:spacing w:before="100" w:beforeAutospacing="1" w:after="100" w:afterAutospacing="1" w:line="240" w:lineRule="auto"/>
        <w:ind w:left="489"/>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Obrigações construtivas como pagamentos inevitáveis de benefícios aos empregados.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Tipos de benefícios:</w:t>
      </w:r>
    </w:p>
    <w:p w:rsidR="003053E7" w:rsidRPr="003053E7" w:rsidRDefault="003053E7" w:rsidP="003053E7">
      <w:pPr>
        <w:numPr>
          <w:ilvl w:val="0"/>
          <w:numId w:val="85"/>
        </w:numPr>
        <w:spacing w:before="100" w:beforeAutospacing="1" w:after="100" w:afterAutospacing="1" w:line="240" w:lineRule="auto"/>
        <w:ind w:left="489"/>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Benefícios de curto prazo (os que se vencem num prazo de doze meses): </w:t>
      </w:r>
    </w:p>
    <w:p w:rsidR="003053E7" w:rsidRPr="003053E7" w:rsidRDefault="003053E7" w:rsidP="003053E7">
      <w:pPr>
        <w:numPr>
          <w:ilvl w:val="1"/>
          <w:numId w:val="85"/>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Ordenados e salários; </w:t>
      </w:r>
    </w:p>
    <w:p w:rsidR="003053E7" w:rsidRPr="003053E7" w:rsidRDefault="003053E7" w:rsidP="003053E7">
      <w:pPr>
        <w:numPr>
          <w:ilvl w:val="1"/>
          <w:numId w:val="85"/>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Contribuição para a segurança social; </w:t>
      </w:r>
    </w:p>
    <w:p w:rsidR="003053E7" w:rsidRPr="003053E7" w:rsidRDefault="003053E7" w:rsidP="003053E7">
      <w:pPr>
        <w:numPr>
          <w:ilvl w:val="1"/>
          <w:numId w:val="85"/>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Licenças por doença e outras licenças pagas aos empregados; </w:t>
      </w:r>
    </w:p>
    <w:p w:rsidR="003053E7" w:rsidRPr="003053E7" w:rsidRDefault="003053E7" w:rsidP="003053E7">
      <w:pPr>
        <w:numPr>
          <w:ilvl w:val="1"/>
          <w:numId w:val="85"/>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Benefícios relacionados com cuidados médicos; para aquisição de habitação; </w:t>
      </w:r>
    </w:p>
    <w:p w:rsidR="003053E7" w:rsidRPr="003053E7" w:rsidRDefault="003053E7" w:rsidP="003053E7">
      <w:pPr>
        <w:numPr>
          <w:ilvl w:val="1"/>
          <w:numId w:val="85"/>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Pensões e outros benefícios de reforma; </w:t>
      </w:r>
    </w:p>
    <w:p w:rsidR="003053E7" w:rsidRPr="003053E7" w:rsidRDefault="003053E7" w:rsidP="003053E7">
      <w:pPr>
        <w:numPr>
          <w:ilvl w:val="1"/>
          <w:numId w:val="85"/>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Seguro de vida pós emprego; </w:t>
      </w:r>
    </w:p>
    <w:p w:rsidR="003053E7" w:rsidRPr="003053E7" w:rsidRDefault="003053E7" w:rsidP="003053E7">
      <w:pPr>
        <w:numPr>
          <w:ilvl w:val="1"/>
          <w:numId w:val="85"/>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Benefícios de invalidez a longo prazo; </w:t>
      </w:r>
    </w:p>
    <w:p w:rsidR="003053E7" w:rsidRPr="003053E7" w:rsidRDefault="003053E7" w:rsidP="003053E7">
      <w:pPr>
        <w:numPr>
          <w:ilvl w:val="1"/>
          <w:numId w:val="85"/>
        </w:numPr>
        <w:spacing w:before="100" w:beforeAutospacing="1" w:after="100" w:afterAutospacing="1" w:line="240" w:lineRule="auto"/>
        <w:ind w:left="863"/>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Provenientes de cessação de emprego e remunerações em capital próprio (acções). </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Momento de reconhecimento dos benefícios de curto prazo: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Devem ser contabilizados no mesmo período em que o empregado prestou os seus serviços, fazendo coincidir o benefício com o respectivo gasto.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Quando são contabilizados os planos de participação nos lucros e gratificações: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norma impõem que o gasto relativo a participações nos lucros e/ou gratificações deve ser relevado dentro do período em que o trabalhador prestou o seu contributo (desde que exista um dever presente ou legal/construtivo e que esse mesmo dever possa ser fielmente calculado).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Atenção: O âmbito da norma prolonga-se também aos dependentes dos empregados, das entidades, e podem ser pagos directamente aos empregados ou a alguém do seu agregado familiar (filhos ou outros dependentes), ou ainda liquidados a empresas de seguros.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Quem é considerado empregado na NCRF 28?</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Todos os funcionários que prestam os seus serviços a tempo completo/parcial; permanente; acidental ou de forma temporária, incluindo os directores e gerência das sociedades.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 que se considera por benefícios / direitos adquiridos?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São benefícios que não estejam condicionados à prestação de trabalho no futuro.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Caracterização dos benefícios de cessação de emprego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Infelizmente existem inúmeras rescisões de contratos de trabalho, mas nem sempre se contabiliza os inerentes gastos no período correcto.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lastRenderedPageBreak/>
        <w:t>Qual é o período correcto para registo das rescisões contratuais?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De acordo com a norma as empresas devem contabilizar estes gastos quando a empresa possuir a decisão de despedimento de um empregado ou grupo de empregados, sem que estes estejam na data de reforma e sempre que as entidades concedam benefícios para incentivar as rescisões.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Exemplificação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Imaginemos que a sociedade A tem como política a atribuição de um bónus de 50 euros por cada ano de antiguidade até à data da reforma.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Taxa de desconto utilizada é de 10%.</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Como calcular o gasto anual de um funcionário admitido três anos antes da idade da reforma?</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Gasto do primeiro ano de serviço: 50 / (1 + 10 %) ^ 2 = 41,32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Gasto do segundo ano: 50 / (1 +10 %) ^1 =45,45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Gasto do último ano = 50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 xml:space="preserve">Contabilização no primeiro e segundo ano </w:t>
      </w:r>
      <w:proofErr w:type="gramStart"/>
      <w:r w:rsidRPr="003053E7">
        <w:rPr>
          <w:rFonts w:ascii="Arial" w:eastAsia="Times New Roman" w:hAnsi="Arial" w:cs="Arial"/>
          <w:sz w:val="24"/>
          <w:szCs w:val="24"/>
          <w:lang w:eastAsia="pt-PT"/>
        </w:rPr>
        <w:t>( seguintes</w:t>
      </w:r>
      <w:proofErr w:type="gramEnd"/>
      <w:r w:rsidRPr="003053E7">
        <w:rPr>
          <w:rFonts w:ascii="Arial" w:eastAsia="Times New Roman" w:hAnsi="Arial" w:cs="Arial"/>
          <w:sz w:val="24"/>
          <w:szCs w:val="24"/>
          <w:lang w:eastAsia="pt-PT"/>
        </w:rPr>
        <w:t xml:space="preserve"> mesmo raciocínio)</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Ano 1- Débito conta benefícios pós-emprego (conta 633): 41,32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conta (273): 41,32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Ano 2 - Débito conta benefícios pós-emprego (conta 633): 45,45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Débito conta outros juros (68): (45,45-41,32) = 4,13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Crédito conta (273): 49,58 euros.</w:t>
      </w:r>
    </w:p>
    <w:p w:rsidR="003053E7" w:rsidRPr="003053E7" w:rsidRDefault="003053E7" w:rsidP="003053E7">
      <w:pPr>
        <w:spacing w:before="58" w:after="115" w:line="240" w:lineRule="auto"/>
        <w:jc w:val="both"/>
        <w:rPr>
          <w:rFonts w:ascii="Arial" w:eastAsia="Times New Roman" w:hAnsi="Arial" w:cs="Arial"/>
          <w:sz w:val="24"/>
          <w:szCs w:val="24"/>
          <w:lang w:eastAsia="pt-PT"/>
        </w:rPr>
      </w:pPr>
      <w:r w:rsidRPr="003053E7">
        <w:rPr>
          <w:rFonts w:ascii="Arial" w:eastAsia="Times New Roman" w:hAnsi="Arial" w:cs="Arial"/>
          <w:b/>
          <w:bCs/>
          <w:sz w:val="24"/>
          <w:szCs w:val="24"/>
          <w:lang w:eastAsia="pt-PT"/>
        </w:rPr>
        <w:t>Observações finais</w:t>
      </w:r>
    </w:p>
    <w:p w:rsidR="003053E7" w:rsidRDefault="003053E7" w:rsidP="003053E7">
      <w:pPr>
        <w:spacing w:before="58" w:line="240" w:lineRule="auto"/>
        <w:jc w:val="both"/>
        <w:rPr>
          <w:rFonts w:ascii="Arial" w:eastAsia="Times New Roman" w:hAnsi="Arial" w:cs="Arial"/>
          <w:sz w:val="24"/>
          <w:szCs w:val="24"/>
          <w:lang w:eastAsia="pt-PT"/>
        </w:rPr>
      </w:pPr>
      <w:r w:rsidRPr="003053E7">
        <w:rPr>
          <w:rFonts w:ascii="Arial" w:eastAsia="Times New Roman" w:hAnsi="Arial" w:cs="Arial"/>
          <w:sz w:val="24"/>
          <w:szCs w:val="24"/>
          <w:lang w:eastAsia="pt-PT"/>
        </w:rPr>
        <w:t>A actual NCRF 28 vem colmatar uma lacuna de informação, uma vez que o POC não legislava qualquer matéria relacionada com os gastos de rescisões contratuais, e que é de imperativa relevância actual.</w:t>
      </w:r>
    </w:p>
    <w:p w:rsidR="00FE379D" w:rsidRPr="003053E7" w:rsidRDefault="00FE379D" w:rsidP="003053E7">
      <w:pPr>
        <w:spacing w:before="58" w:line="240" w:lineRule="auto"/>
        <w:jc w:val="both"/>
        <w:rPr>
          <w:rFonts w:ascii="Arial" w:eastAsia="Times New Roman" w:hAnsi="Arial" w:cs="Arial"/>
          <w:sz w:val="24"/>
          <w:szCs w:val="24"/>
          <w:lang w:eastAsia="pt-PT"/>
        </w:rPr>
      </w:pPr>
    </w:p>
    <w:p w:rsidR="003053E7" w:rsidRPr="00FE379D" w:rsidRDefault="0028710B" w:rsidP="00AB0A96">
      <w:pPr>
        <w:spacing w:before="115" w:line="264" w:lineRule="auto"/>
        <w:outlineLvl w:val="2"/>
        <w:rPr>
          <w:rFonts w:ascii="Georgia" w:eastAsia="Times New Roman" w:hAnsi="Georgia" w:cs="Arial"/>
          <w:color w:val="FF0000"/>
          <w:spacing w:val="-12"/>
          <w:sz w:val="40"/>
          <w:szCs w:val="42"/>
          <w:lang w:eastAsia="pt-PT"/>
        </w:rPr>
      </w:pPr>
      <w:bookmarkStart w:id="30" w:name="_Toc290996405"/>
      <w:r w:rsidRPr="00FE379D">
        <w:rPr>
          <w:rFonts w:ascii="Georgia" w:hAnsi="Georgia" w:cs="Arial"/>
          <w:color w:val="FF0000"/>
          <w:spacing w:val="-12"/>
          <w:sz w:val="40"/>
          <w:szCs w:val="42"/>
        </w:rPr>
        <w:t>Sistema contabilístico para pequenas entidades</w:t>
      </w:r>
      <w:bookmarkEnd w:id="30"/>
      <w:r w:rsidR="00FE379D" w:rsidRPr="00FE379D">
        <w:rPr>
          <w:rFonts w:ascii="Georgia" w:hAnsi="Georgia" w:cs="Arial"/>
          <w:color w:val="FF0000"/>
          <w:spacing w:val="-12"/>
          <w:sz w:val="40"/>
          <w:szCs w:val="42"/>
        </w:rPr>
        <w:t xml:space="preserve"> (PE)</w:t>
      </w:r>
    </w:p>
    <w:p w:rsidR="0028710B" w:rsidRPr="0028710B" w:rsidRDefault="0028710B" w:rsidP="0028710B">
      <w:pPr>
        <w:spacing w:before="58" w:after="115" w:line="276" w:lineRule="atLeast"/>
        <w:jc w:val="both"/>
        <w:rPr>
          <w:rFonts w:ascii="Arial" w:eastAsia="Times New Roman" w:hAnsi="Arial" w:cs="Arial"/>
          <w:b/>
          <w:bCs/>
          <w:color w:val="444444"/>
          <w:sz w:val="21"/>
          <w:szCs w:val="21"/>
          <w:lang w:eastAsia="pt-PT"/>
        </w:rPr>
      </w:pPr>
      <w:r w:rsidRPr="0028710B">
        <w:rPr>
          <w:rFonts w:ascii="Arial" w:eastAsia="Times New Roman" w:hAnsi="Arial" w:cs="Arial"/>
          <w:b/>
          <w:bCs/>
          <w:color w:val="444444"/>
          <w:sz w:val="21"/>
          <w:szCs w:val="21"/>
          <w:lang w:eastAsia="pt-PT"/>
        </w:rPr>
        <w:t xml:space="preserve">As </w:t>
      </w:r>
      <w:proofErr w:type="spellStart"/>
      <w:r w:rsidRPr="0028710B">
        <w:rPr>
          <w:rFonts w:ascii="Arial" w:eastAsia="Times New Roman" w:hAnsi="Arial" w:cs="Arial"/>
          <w:b/>
          <w:bCs/>
          <w:color w:val="444444"/>
          <w:sz w:val="21"/>
          <w:szCs w:val="21"/>
          <w:lang w:eastAsia="pt-PT"/>
        </w:rPr>
        <w:t>microentidades</w:t>
      </w:r>
      <w:proofErr w:type="spellEnd"/>
      <w:r w:rsidRPr="0028710B">
        <w:rPr>
          <w:rFonts w:ascii="Arial" w:eastAsia="Times New Roman" w:hAnsi="Arial" w:cs="Arial"/>
          <w:b/>
          <w:bCs/>
          <w:color w:val="444444"/>
          <w:sz w:val="21"/>
          <w:szCs w:val="21"/>
          <w:lang w:eastAsia="pt-PT"/>
        </w:rPr>
        <w:t xml:space="preserve"> estão agora dispensadas da aplicação do SNC – Sistema de Normalização contabilística, que entrou em vigor a 1 de Janeiro de 2010. A entrada em vigor da Lei nº 35/2010 tornou as regras contabilísticas a que estão sujeitas mais simples, desobrigando-as de determinadas declarações contabilísticas e fiscais e de alguns registos.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Que simplificações são introduzidas?</w:t>
      </w:r>
    </w:p>
    <w:p w:rsidR="0028710B" w:rsidRPr="0028710B" w:rsidRDefault="0028710B" w:rsidP="0028710B">
      <w:pPr>
        <w:numPr>
          <w:ilvl w:val="0"/>
          <w:numId w:val="91"/>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Um quadro de contas simplificado, a ser publicado brevemente. As </w:t>
      </w:r>
      <w:proofErr w:type="spellStart"/>
      <w:r w:rsidRPr="0028710B">
        <w:rPr>
          <w:rFonts w:ascii="Arial" w:eastAsia="Times New Roman" w:hAnsi="Arial" w:cs="Arial"/>
          <w:sz w:val="24"/>
          <w:szCs w:val="24"/>
          <w:lang w:eastAsia="pt-PT"/>
        </w:rPr>
        <w:t>microentidades</w:t>
      </w:r>
      <w:proofErr w:type="spellEnd"/>
      <w:r w:rsidRPr="0028710B">
        <w:rPr>
          <w:rFonts w:ascii="Arial" w:eastAsia="Times New Roman" w:hAnsi="Arial" w:cs="Arial"/>
          <w:sz w:val="24"/>
          <w:szCs w:val="24"/>
          <w:lang w:eastAsia="pt-PT"/>
        </w:rPr>
        <w:t xml:space="preserve"> não terão de adoptar o plano de contas do SNC; </w:t>
      </w:r>
    </w:p>
    <w:p w:rsidR="0028710B" w:rsidRPr="0028710B" w:rsidRDefault="0028710B" w:rsidP="0028710B">
      <w:pPr>
        <w:numPr>
          <w:ilvl w:val="0"/>
          <w:numId w:val="91"/>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 dispensa de elaboração do Anexo ao balanço e demais demonstrações financeiras; </w:t>
      </w:r>
    </w:p>
    <w:p w:rsidR="0028710B" w:rsidRPr="0028710B" w:rsidRDefault="0028710B" w:rsidP="0028710B">
      <w:pPr>
        <w:numPr>
          <w:ilvl w:val="0"/>
          <w:numId w:val="91"/>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Criação de normas contabilísticas simplificadas; </w:t>
      </w:r>
    </w:p>
    <w:p w:rsidR="0028710B" w:rsidRPr="0028710B" w:rsidRDefault="0028710B" w:rsidP="0028710B">
      <w:pPr>
        <w:numPr>
          <w:ilvl w:val="0"/>
          <w:numId w:val="91"/>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lastRenderedPageBreak/>
        <w:t xml:space="preserve">Dispensa de entrega do anexo L do IVA da Informação Empresarial Simplificada – elementos contabilísticos e fiscais; </w:t>
      </w:r>
    </w:p>
    <w:p w:rsidR="0028710B" w:rsidRPr="0028710B" w:rsidRDefault="0028710B" w:rsidP="0028710B">
      <w:pPr>
        <w:numPr>
          <w:ilvl w:val="0"/>
          <w:numId w:val="91"/>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Dispensa de entrega do anexo M do IVA da Informação Empresarial Simplificada – operações realizadas em espaço diferente da sede; </w:t>
      </w:r>
    </w:p>
    <w:p w:rsidR="0028710B" w:rsidRPr="0028710B" w:rsidRDefault="0028710B" w:rsidP="0028710B">
      <w:pPr>
        <w:numPr>
          <w:ilvl w:val="0"/>
          <w:numId w:val="91"/>
        </w:numPr>
        <w:spacing w:before="100" w:beforeAutospacing="1" w:after="100" w:afterAutospacing="1" w:line="240" w:lineRule="auto"/>
        <w:ind w:left="489"/>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Dispensa de entrega do anexo Q do Imposto do Selo da Informação Empresarial Simplificada – elementos contabilísticos e fiscais. </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Direito de opção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As </w:t>
      </w:r>
      <w:proofErr w:type="spellStart"/>
      <w:r w:rsidRPr="0028710B">
        <w:rPr>
          <w:rFonts w:ascii="Arial" w:eastAsia="Times New Roman" w:hAnsi="Arial" w:cs="Arial"/>
          <w:sz w:val="24"/>
          <w:szCs w:val="24"/>
          <w:lang w:eastAsia="pt-PT"/>
        </w:rPr>
        <w:t>microentidades</w:t>
      </w:r>
      <w:proofErr w:type="spellEnd"/>
      <w:r w:rsidRPr="0028710B">
        <w:rPr>
          <w:rFonts w:ascii="Arial" w:eastAsia="Times New Roman" w:hAnsi="Arial" w:cs="Arial"/>
          <w:sz w:val="24"/>
          <w:szCs w:val="24"/>
          <w:lang w:eastAsia="pt-PT"/>
        </w:rPr>
        <w:t xml:space="preserve"> poderão ainda optar pela aplicação das regras do SNC. Para tal, terão de mencionar expressamente essa intenção na declaração periódica de rendimentos.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b/>
          <w:bCs/>
          <w:sz w:val="24"/>
          <w:szCs w:val="24"/>
          <w:lang w:eastAsia="pt-PT"/>
        </w:rPr>
        <w:t xml:space="preserve">O que são </w:t>
      </w:r>
      <w:proofErr w:type="spellStart"/>
      <w:r w:rsidRPr="0028710B">
        <w:rPr>
          <w:rFonts w:ascii="Arial" w:eastAsia="Times New Roman" w:hAnsi="Arial" w:cs="Arial"/>
          <w:b/>
          <w:bCs/>
          <w:sz w:val="24"/>
          <w:szCs w:val="24"/>
          <w:lang w:eastAsia="pt-PT"/>
        </w:rPr>
        <w:t>microentidades</w:t>
      </w:r>
      <w:proofErr w:type="spellEnd"/>
      <w:r w:rsidRPr="0028710B">
        <w:rPr>
          <w:rFonts w:ascii="Arial" w:eastAsia="Times New Roman" w:hAnsi="Arial" w:cs="Arial"/>
          <w:b/>
          <w:bCs/>
          <w:sz w:val="24"/>
          <w:szCs w:val="24"/>
          <w:lang w:eastAsia="pt-PT"/>
        </w:rPr>
        <w:t>?</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O critério de classificação baseia-se nas Demonstrações Financeiras. O balanço não pode ser superior a €500.000, o volume de negócios líquido igualmente inferior a €500.000 e no número médio de pessoas ao serviço, que não pode ultrapassar os cinco elementos.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Uma </w:t>
      </w:r>
      <w:proofErr w:type="spellStart"/>
      <w:r w:rsidRPr="0028710B">
        <w:rPr>
          <w:rFonts w:ascii="Arial" w:eastAsia="Times New Roman" w:hAnsi="Arial" w:cs="Arial"/>
          <w:sz w:val="24"/>
          <w:szCs w:val="24"/>
          <w:lang w:eastAsia="pt-PT"/>
        </w:rPr>
        <w:t>microentidade</w:t>
      </w:r>
      <w:proofErr w:type="spellEnd"/>
      <w:r w:rsidRPr="0028710B">
        <w:rPr>
          <w:rFonts w:ascii="Arial" w:eastAsia="Times New Roman" w:hAnsi="Arial" w:cs="Arial"/>
          <w:sz w:val="24"/>
          <w:szCs w:val="24"/>
          <w:lang w:eastAsia="pt-PT"/>
        </w:rPr>
        <w:t xml:space="preserve"> é aquela que não ultrapassa dois destes três limites.</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Assim, uma empresa com 4 empregados pode facturar um milhão de euros em 2011 e ter um activo líquido de €450.000 para poder continuar a ser considerada uma </w:t>
      </w:r>
      <w:proofErr w:type="spellStart"/>
      <w:r w:rsidRPr="0028710B">
        <w:rPr>
          <w:rFonts w:ascii="Arial" w:eastAsia="Times New Roman" w:hAnsi="Arial" w:cs="Arial"/>
          <w:sz w:val="24"/>
          <w:szCs w:val="24"/>
          <w:lang w:eastAsia="pt-PT"/>
        </w:rPr>
        <w:t>microentidade</w:t>
      </w:r>
      <w:proofErr w:type="spellEnd"/>
      <w:r w:rsidRPr="0028710B">
        <w:rPr>
          <w:rFonts w:ascii="Arial" w:eastAsia="Times New Roman" w:hAnsi="Arial" w:cs="Arial"/>
          <w:sz w:val="24"/>
          <w:szCs w:val="24"/>
          <w:lang w:eastAsia="pt-PT"/>
        </w:rPr>
        <w:t>. Mas se ultrapassar dois dos três limites acima referidos durante dois exercícios seguidos (em 2012 e 2013), deixará de o ser. Por exemplo, se contratar mais dois empregados, mantendo o mesmo volume de negócios e valor de activo líquido.</w:t>
      </w:r>
    </w:p>
    <w:p w:rsidR="0028710B" w:rsidRPr="0028710B" w:rsidRDefault="0028710B" w:rsidP="0028710B">
      <w:pPr>
        <w:spacing w:before="58" w:after="115"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Neste caso, a solução para voltar a ser considerada uma </w:t>
      </w:r>
      <w:proofErr w:type="spellStart"/>
      <w:r w:rsidRPr="0028710B">
        <w:rPr>
          <w:rFonts w:ascii="Arial" w:eastAsia="Times New Roman" w:hAnsi="Arial" w:cs="Arial"/>
          <w:sz w:val="24"/>
          <w:szCs w:val="24"/>
          <w:lang w:eastAsia="pt-PT"/>
        </w:rPr>
        <w:t>microentidade</w:t>
      </w:r>
      <w:proofErr w:type="spellEnd"/>
      <w:r w:rsidRPr="0028710B">
        <w:rPr>
          <w:rFonts w:ascii="Arial" w:eastAsia="Times New Roman" w:hAnsi="Arial" w:cs="Arial"/>
          <w:sz w:val="24"/>
          <w:szCs w:val="24"/>
          <w:lang w:eastAsia="pt-PT"/>
        </w:rPr>
        <w:t xml:space="preserve"> seria despedir dois empregados ou facturar menos de meio milhão de euros por ano. No entanto, para poder voltar a ser considerada uma </w:t>
      </w:r>
      <w:proofErr w:type="spellStart"/>
      <w:r w:rsidRPr="0028710B">
        <w:rPr>
          <w:rFonts w:ascii="Arial" w:eastAsia="Times New Roman" w:hAnsi="Arial" w:cs="Arial"/>
          <w:sz w:val="24"/>
          <w:szCs w:val="24"/>
          <w:lang w:eastAsia="pt-PT"/>
        </w:rPr>
        <w:t>microentidade</w:t>
      </w:r>
      <w:proofErr w:type="spellEnd"/>
      <w:r w:rsidRPr="0028710B">
        <w:rPr>
          <w:rFonts w:ascii="Arial" w:eastAsia="Times New Roman" w:hAnsi="Arial" w:cs="Arial"/>
          <w:sz w:val="24"/>
          <w:szCs w:val="24"/>
          <w:lang w:eastAsia="pt-PT"/>
        </w:rPr>
        <w:t xml:space="preserve">, a empresa teria de ficar aquém de dois dos três limites durante dois exercícios seguintes. Ou seja, não </w:t>
      </w:r>
      <w:proofErr w:type="gramStart"/>
      <w:r w:rsidRPr="0028710B">
        <w:rPr>
          <w:rFonts w:ascii="Arial" w:eastAsia="Times New Roman" w:hAnsi="Arial" w:cs="Arial"/>
          <w:sz w:val="24"/>
          <w:szCs w:val="24"/>
          <w:lang w:eastAsia="pt-PT"/>
        </w:rPr>
        <w:t>basta</w:t>
      </w:r>
      <w:proofErr w:type="gramEnd"/>
      <w:r w:rsidRPr="0028710B">
        <w:rPr>
          <w:rFonts w:ascii="Arial" w:eastAsia="Times New Roman" w:hAnsi="Arial" w:cs="Arial"/>
          <w:sz w:val="24"/>
          <w:szCs w:val="24"/>
          <w:lang w:eastAsia="pt-PT"/>
        </w:rPr>
        <w:t xml:space="preserve"> </w:t>
      </w:r>
      <w:proofErr w:type="gramStart"/>
      <w:r w:rsidRPr="0028710B">
        <w:rPr>
          <w:rFonts w:ascii="Arial" w:eastAsia="Times New Roman" w:hAnsi="Arial" w:cs="Arial"/>
          <w:sz w:val="24"/>
          <w:szCs w:val="24"/>
          <w:lang w:eastAsia="pt-PT"/>
        </w:rPr>
        <w:t>voltar</w:t>
      </w:r>
      <w:proofErr w:type="gramEnd"/>
      <w:r w:rsidRPr="0028710B">
        <w:rPr>
          <w:rFonts w:ascii="Arial" w:eastAsia="Times New Roman" w:hAnsi="Arial" w:cs="Arial"/>
          <w:sz w:val="24"/>
          <w:szCs w:val="24"/>
          <w:lang w:eastAsia="pt-PT"/>
        </w:rPr>
        <w:t xml:space="preserve"> a cumprir os limites no exercício seguinte, é necessário fazê-lo durante pelo menos dois exercício seguidos.</w:t>
      </w:r>
    </w:p>
    <w:p w:rsidR="0028710B" w:rsidRPr="0028710B" w:rsidRDefault="0028710B" w:rsidP="0028710B">
      <w:pPr>
        <w:spacing w:before="58" w:line="240" w:lineRule="auto"/>
        <w:jc w:val="both"/>
        <w:rPr>
          <w:rFonts w:ascii="Arial" w:eastAsia="Times New Roman" w:hAnsi="Arial" w:cs="Arial"/>
          <w:sz w:val="24"/>
          <w:szCs w:val="24"/>
          <w:lang w:eastAsia="pt-PT"/>
        </w:rPr>
      </w:pPr>
      <w:r w:rsidRPr="0028710B">
        <w:rPr>
          <w:rFonts w:ascii="Arial" w:eastAsia="Times New Roman" w:hAnsi="Arial" w:cs="Arial"/>
          <w:sz w:val="24"/>
          <w:szCs w:val="24"/>
          <w:lang w:eastAsia="pt-PT"/>
        </w:rPr>
        <w:t xml:space="preserve">A vantagem da utilização deste sistema simplificado prende-se naturalmente com a desoneração de determinadas obrigações de natureza administrativa. Por um lado, a lei vem permitir a redução de custos administrativos das </w:t>
      </w:r>
      <w:proofErr w:type="spellStart"/>
      <w:r w:rsidRPr="0028710B">
        <w:rPr>
          <w:rFonts w:ascii="Arial" w:eastAsia="Times New Roman" w:hAnsi="Arial" w:cs="Arial"/>
          <w:sz w:val="24"/>
          <w:szCs w:val="24"/>
          <w:lang w:eastAsia="pt-PT"/>
        </w:rPr>
        <w:t>microentidades</w:t>
      </w:r>
      <w:proofErr w:type="spellEnd"/>
      <w:r w:rsidRPr="0028710B">
        <w:rPr>
          <w:rFonts w:ascii="Arial" w:eastAsia="Times New Roman" w:hAnsi="Arial" w:cs="Arial"/>
          <w:sz w:val="24"/>
          <w:szCs w:val="24"/>
          <w:lang w:eastAsia="pt-PT"/>
        </w:rPr>
        <w:t xml:space="preserve"> que, como sabemos, ocupam um espaço significativo na economia; por outro, exige rigor no combate à fraude e evasão fiscal. Cabe aos empresários, em última análise, avaliar até que ponto esta simplificação oferece vantagens relevantes.</w:t>
      </w:r>
    </w:p>
    <w:p w:rsidR="003053E7" w:rsidRPr="00AB0A96" w:rsidRDefault="003053E7" w:rsidP="00AB0A96">
      <w:pPr>
        <w:spacing w:before="115" w:line="264" w:lineRule="auto"/>
        <w:outlineLvl w:val="2"/>
        <w:rPr>
          <w:rFonts w:ascii="Georgia" w:eastAsia="Times New Roman" w:hAnsi="Georgia" w:cs="Arial"/>
          <w:color w:val="FF0000"/>
          <w:spacing w:val="-12"/>
          <w:sz w:val="42"/>
          <w:szCs w:val="42"/>
          <w:lang w:eastAsia="pt-PT"/>
        </w:rPr>
      </w:pPr>
    </w:p>
    <w:p w:rsidR="00AB0A96" w:rsidRPr="00AB0A96" w:rsidRDefault="00AB0A96" w:rsidP="00AB0A96">
      <w:pPr>
        <w:spacing w:before="115" w:line="264" w:lineRule="auto"/>
        <w:outlineLvl w:val="2"/>
        <w:rPr>
          <w:rFonts w:ascii="Georgia" w:eastAsia="Times New Roman" w:hAnsi="Georgia" w:cs="Arial"/>
          <w:color w:val="FF0000"/>
          <w:spacing w:val="-12"/>
          <w:sz w:val="42"/>
          <w:szCs w:val="42"/>
          <w:lang w:eastAsia="pt-PT"/>
        </w:rPr>
      </w:pPr>
    </w:p>
    <w:p w:rsidR="00B83CF1" w:rsidRPr="00B83CF1" w:rsidRDefault="00B83CF1">
      <w:pPr>
        <w:rPr>
          <w:color w:val="FF0000"/>
        </w:rPr>
      </w:pPr>
    </w:p>
    <w:sectPr w:rsidR="00B83CF1" w:rsidRPr="00B83CF1" w:rsidSect="00CC2F46">
      <w:footerReference w:type="default" r:id="rId8"/>
      <w:pgSz w:w="11906" w:h="16838" w:code="9"/>
      <w:pgMar w:top="1418" w:right="1701" w:bottom="1418" w:left="1701" w:header="709" w:footer="709" w:gutter="0"/>
      <w:cols w:space="708"/>
      <w:vAlign w:val="both"/>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6560" w:rsidRDefault="00C66560" w:rsidP="0028710B">
      <w:pPr>
        <w:spacing w:after="0" w:line="240" w:lineRule="auto"/>
      </w:pPr>
      <w:r>
        <w:separator/>
      </w:r>
    </w:p>
  </w:endnote>
  <w:endnote w:type="continuationSeparator" w:id="0">
    <w:p w:rsidR="00C66560" w:rsidRDefault="00C66560" w:rsidP="002871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20007"/>
      <w:docPartObj>
        <w:docPartGallery w:val="Page Numbers (Bottom of Page)"/>
        <w:docPartUnique/>
      </w:docPartObj>
    </w:sdtPr>
    <w:sdtContent>
      <w:p w:rsidR="005F39C8" w:rsidRDefault="005F39C8">
        <w:pPr>
          <w:pStyle w:val="Rodap"/>
          <w:jc w:val="right"/>
        </w:pPr>
        <w:fldSimple w:instr=" PAGE   \* MERGEFORMAT ">
          <w:r w:rsidR="00FE379D">
            <w:rPr>
              <w:noProof/>
            </w:rPr>
            <w:t>79</w:t>
          </w:r>
        </w:fldSimple>
      </w:p>
    </w:sdtContent>
  </w:sdt>
  <w:p w:rsidR="005F39C8" w:rsidRDefault="005F39C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6560" w:rsidRDefault="00C66560" w:rsidP="0028710B">
      <w:pPr>
        <w:spacing w:after="0" w:line="240" w:lineRule="auto"/>
      </w:pPr>
      <w:r>
        <w:separator/>
      </w:r>
    </w:p>
  </w:footnote>
  <w:footnote w:type="continuationSeparator" w:id="0">
    <w:p w:rsidR="00C66560" w:rsidRDefault="00C66560" w:rsidP="002871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561A"/>
    <w:multiLevelType w:val="multilevel"/>
    <w:tmpl w:val="D9E0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B164C"/>
    <w:multiLevelType w:val="multilevel"/>
    <w:tmpl w:val="4D2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5C15D1"/>
    <w:multiLevelType w:val="multilevel"/>
    <w:tmpl w:val="3894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E506CA"/>
    <w:multiLevelType w:val="multilevel"/>
    <w:tmpl w:val="2A36C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9F4533"/>
    <w:multiLevelType w:val="multilevel"/>
    <w:tmpl w:val="DFAA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3A188F"/>
    <w:multiLevelType w:val="multilevel"/>
    <w:tmpl w:val="C67A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A83704"/>
    <w:multiLevelType w:val="multilevel"/>
    <w:tmpl w:val="9F68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F510E7"/>
    <w:multiLevelType w:val="multilevel"/>
    <w:tmpl w:val="1CE0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4E4E72"/>
    <w:multiLevelType w:val="multilevel"/>
    <w:tmpl w:val="7C70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735943"/>
    <w:multiLevelType w:val="multilevel"/>
    <w:tmpl w:val="7214F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E1C78C8"/>
    <w:multiLevelType w:val="multilevel"/>
    <w:tmpl w:val="E112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644330"/>
    <w:multiLevelType w:val="multilevel"/>
    <w:tmpl w:val="7D56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013D2F"/>
    <w:multiLevelType w:val="multilevel"/>
    <w:tmpl w:val="E938B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F821F55"/>
    <w:multiLevelType w:val="multilevel"/>
    <w:tmpl w:val="9226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0A71219"/>
    <w:multiLevelType w:val="multilevel"/>
    <w:tmpl w:val="EB40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2712411"/>
    <w:multiLevelType w:val="multilevel"/>
    <w:tmpl w:val="B1AA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2EC1F31"/>
    <w:multiLevelType w:val="multilevel"/>
    <w:tmpl w:val="9566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366689B"/>
    <w:multiLevelType w:val="multilevel"/>
    <w:tmpl w:val="87B6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3D87E0E"/>
    <w:multiLevelType w:val="multilevel"/>
    <w:tmpl w:val="5AE8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53C48E1"/>
    <w:multiLevelType w:val="multilevel"/>
    <w:tmpl w:val="5706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7D1504A"/>
    <w:multiLevelType w:val="multilevel"/>
    <w:tmpl w:val="D868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81C2E0D"/>
    <w:multiLevelType w:val="multilevel"/>
    <w:tmpl w:val="EE8AE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A5A1D19"/>
    <w:multiLevelType w:val="multilevel"/>
    <w:tmpl w:val="E87E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C3E2154"/>
    <w:multiLevelType w:val="multilevel"/>
    <w:tmpl w:val="84DC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CA221D2"/>
    <w:multiLevelType w:val="multilevel"/>
    <w:tmpl w:val="4C46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D061EED"/>
    <w:multiLevelType w:val="multilevel"/>
    <w:tmpl w:val="1D4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DA4651F"/>
    <w:multiLevelType w:val="multilevel"/>
    <w:tmpl w:val="2E24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E6D5FD7"/>
    <w:multiLevelType w:val="multilevel"/>
    <w:tmpl w:val="1A92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E8511B3"/>
    <w:multiLevelType w:val="multilevel"/>
    <w:tmpl w:val="890A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FA10805"/>
    <w:multiLevelType w:val="multilevel"/>
    <w:tmpl w:val="BB80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1F4507F"/>
    <w:multiLevelType w:val="multilevel"/>
    <w:tmpl w:val="A9BE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56D7E3C"/>
    <w:multiLevelType w:val="multilevel"/>
    <w:tmpl w:val="51C2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7675896"/>
    <w:multiLevelType w:val="multilevel"/>
    <w:tmpl w:val="7E60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9C0647D"/>
    <w:multiLevelType w:val="multilevel"/>
    <w:tmpl w:val="BDA2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B49489C"/>
    <w:multiLevelType w:val="multilevel"/>
    <w:tmpl w:val="BC0E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BB2081A"/>
    <w:multiLevelType w:val="multilevel"/>
    <w:tmpl w:val="1DA0C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CEB5E6A"/>
    <w:multiLevelType w:val="multilevel"/>
    <w:tmpl w:val="9278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EF65FE0"/>
    <w:multiLevelType w:val="multilevel"/>
    <w:tmpl w:val="BC8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F504855"/>
    <w:multiLevelType w:val="multilevel"/>
    <w:tmpl w:val="62D8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47118A9"/>
    <w:multiLevelType w:val="multilevel"/>
    <w:tmpl w:val="82C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4CA6046"/>
    <w:multiLevelType w:val="multilevel"/>
    <w:tmpl w:val="64B86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62F66CC"/>
    <w:multiLevelType w:val="multilevel"/>
    <w:tmpl w:val="F28A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6756EF9"/>
    <w:multiLevelType w:val="multilevel"/>
    <w:tmpl w:val="4DF6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7C54B26"/>
    <w:multiLevelType w:val="multilevel"/>
    <w:tmpl w:val="5330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8EC782A"/>
    <w:multiLevelType w:val="multilevel"/>
    <w:tmpl w:val="4A309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94F51BE"/>
    <w:multiLevelType w:val="multilevel"/>
    <w:tmpl w:val="3958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95949CE"/>
    <w:multiLevelType w:val="multilevel"/>
    <w:tmpl w:val="64C65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AA62F71"/>
    <w:multiLevelType w:val="multilevel"/>
    <w:tmpl w:val="60EA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D506CDC"/>
    <w:multiLevelType w:val="multilevel"/>
    <w:tmpl w:val="DF4AD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E395F18"/>
    <w:multiLevelType w:val="multilevel"/>
    <w:tmpl w:val="CFA46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3F97353B"/>
    <w:multiLevelType w:val="multilevel"/>
    <w:tmpl w:val="AB7E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FD50448"/>
    <w:multiLevelType w:val="multilevel"/>
    <w:tmpl w:val="FB8A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193794B"/>
    <w:multiLevelType w:val="multilevel"/>
    <w:tmpl w:val="1A326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5A62F59"/>
    <w:multiLevelType w:val="multilevel"/>
    <w:tmpl w:val="5CB2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74E4B73"/>
    <w:multiLevelType w:val="multilevel"/>
    <w:tmpl w:val="5ADE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7EC7B12"/>
    <w:multiLevelType w:val="multilevel"/>
    <w:tmpl w:val="63B6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D2D0384"/>
    <w:multiLevelType w:val="multilevel"/>
    <w:tmpl w:val="FF66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D4A476C"/>
    <w:multiLevelType w:val="multilevel"/>
    <w:tmpl w:val="5E066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D97553C"/>
    <w:multiLevelType w:val="multilevel"/>
    <w:tmpl w:val="2A16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DF32FBC"/>
    <w:multiLevelType w:val="multilevel"/>
    <w:tmpl w:val="E852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46E445D"/>
    <w:multiLevelType w:val="multilevel"/>
    <w:tmpl w:val="B75C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5A13813"/>
    <w:multiLevelType w:val="multilevel"/>
    <w:tmpl w:val="C5920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5C52320"/>
    <w:multiLevelType w:val="multilevel"/>
    <w:tmpl w:val="5AE4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5EF09EA"/>
    <w:multiLevelType w:val="multilevel"/>
    <w:tmpl w:val="1B1A0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6821471"/>
    <w:multiLevelType w:val="multilevel"/>
    <w:tmpl w:val="C980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6F967BB"/>
    <w:multiLevelType w:val="multilevel"/>
    <w:tmpl w:val="7C46E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57620D7F"/>
    <w:multiLevelType w:val="multilevel"/>
    <w:tmpl w:val="CDD62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82A0264"/>
    <w:multiLevelType w:val="multilevel"/>
    <w:tmpl w:val="E7C0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893499E"/>
    <w:multiLevelType w:val="multilevel"/>
    <w:tmpl w:val="D6DA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A25174A"/>
    <w:multiLevelType w:val="multilevel"/>
    <w:tmpl w:val="630A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AC50026"/>
    <w:multiLevelType w:val="multilevel"/>
    <w:tmpl w:val="DDBE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B214B5F"/>
    <w:multiLevelType w:val="multilevel"/>
    <w:tmpl w:val="9F50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1D33759"/>
    <w:multiLevelType w:val="multilevel"/>
    <w:tmpl w:val="28B2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46B398B"/>
    <w:multiLevelType w:val="multilevel"/>
    <w:tmpl w:val="B4324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78B0F3C"/>
    <w:multiLevelType w:val="multilevel"/>
    <w:tmpl w:val="29809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69B75D8A"/>
    <w:multiLevelType w:val="multilevel"/>
    <w:tmpl w:val="7B8E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AAC1BD1"/>
    <w:multiLevelType w:val="multilevel"/>
    <w:tmpl w:val="B568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B672199"/>
    <w:multiLevelType w:val="multilevel"/>
    <w:tmpl w:val="581C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E1A3BCC"/>
    <w:multiLevelType w:val="multilevel"/>
    <w:tmpl w:val="617A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E882484"/>
    <w:multiLevelType w:val="multilevel"/>
    <w:tmpl w:val="3D70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F3C30BE"/>
    <w:multiLevelType w:val="multilevel"/>
    <w:tmpl w:val="2632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F8D35F1"/>
    <w:multiLevelType w:val="multilevel"/>
    <w:tmpl w:val="59C0B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6FB948DE"/>
    <w:multiLevelType w:val="multilevel"/>
    <w:tmpl w:val="50FEB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05129A1"/>
    <w:multiLevelType w:val="multilevel"/>
    <w:tmpl w:val="9C26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1FC1911"/>
    <w:multiLevelType w:val="multilevel"/>
    <w:tmpl w:val="8A94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2D0713A"/>
    <w:multiLevelType w:val="multilevel"/>
    <w:tmpl w:val="27F6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35A2634"/>
    <w:multiLevelType w:val="multilevel"/>
    <w:tmpl w:val="BC6AB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45A752C"/>
    <w:multiLevelType w:val="multilevel"/>
    <w:tmpl w:val="F470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53720B0"/>
    <w:multiLevelType w:val="multilevel"/>
    <w:tmpl w:val="4E48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55F1D2C"/>
    <w:multiLevelType w:val="multilevel"/>
    <w:tmpl w:val="8E98C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72D4539"/>
    <w:multiLevelType w:val="multilevel"/>
    <w:tmpl w:val="E35CC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787D37B5"/>
    <w:multiLevelType w:val="multilevel"/>
    <w:tmpl w:val="946A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A637C06"/>
    <w:multiLevelType w:val="multilevel"/>
    <w:tmpl w:val="7318F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B4856E3"/>
    <w:multiLevelType w:val="multilevel"/>
    <w:tmpl w:val="1DCA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CCA3003"/>
    <w:multiLevelType w:val="multilevel"/>
    <w:tmpl w:val="2F7E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CF524B4"/>
    <w:multiLevelType w:val="multilevel"/>
    <w:tmpl w:val="A4D63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E317F80"/>
    <w:multiLevelType w:val="multilevel"/>
    <w:tmpl w:val="5CD2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7"/>
  </w:num>
  <w:num w:numId="2">
    <w:abstractNumId w:val="57"/>
  </w:num>
  <w:num w:numId="3">
    <w:abstractNumId w:val="2"/>
  </w:num>
  <w:num w:numId="4">
    <w:abstractNumId w:val="26"/>
  </w:num>
  <w:num w:numId="5">
    <w:abstractNumId w:val="12"/>
  </w:num>
  <w:num w:numId="6">
    <w:abstractNumId w:val="66"/>
  </w:num>
  <w:num w:numId="7">
    <w:abstractNumId w:val="78"/>
  </w:num>
  <w:num w:numId="8">
    <w:abstractNumId w:val="7"/>
  </w:num>
  <w:num w:numId="9">
    <w:abstractNumId w:val="85"/>
  </w:num>
  <w:num w:numId="10">
    <w:abstractNumId w:val="72"/>
  </w:num>
  <w:num w:numId="11">
    <w:abstractNumId w:val="49"/>
  </w:num>
  <w:num w:numId="12">
    <w:abstractNumId w:val="23"/>
  </w:num>
  <w:num w:numId="13">
    <w:abstractNumId w:val="74"/>
  </w:num>
  <w:num w:numId="14">
    <w:abstractNumId w:val="62"/>
  </w:num>
  <w:num w:numId="15">
    <w:abstractNumId w:val="16"/>
  </w:num>
  <w:num w:numId="16">
    <w:abstractNumId w:val="47"/>
  </w:num>
  <w:num w:numId="17">
    <w:abstractNumId w:val="9"/>
  </w:num>
  <w:num w:numId="18">
    <w:abstractNumId w:val="27"/>
  </w:num>
  <w:num w:numId="19">
    <w:abstractNumId w:val="80"/>
  </w:num>
  <w:num w:numId="20">
    <w:abstractNumId w:val="90"/>
  </w:num>
  <w:num w:numId="21">
    <w:abstractNumId w:val="65"/>
  </w:num>
  <w:num w:numId="22">
    <w:abstractNumId w:val="6"/>
  </w:num>
  <w:num w:numId="23">
    <w:abstractNumId w:val="76"/>
  </w:num>
  <w:num w:numId="24">
    <w:abstractNumId w:val="63"/>
  </w:num>
  <w:num w:numId="25">
    <w:abstractNumId w:val="38"/>
  </w:num>
  <w:num w:numId="26">
    <w:abstractNumId w:val="75"/>
  </w:num>
  <w:num w:numId="27">
    <w:abstractNumId w:val="15"/>
  </w:num>
  <w:num w:numId="28">
    <w:abstractNumId w:val="0"/>
  </w:num>
  <w:num w:numId="29">
    <w:abstractNumId w:val="30"/>
  </w:num>
  <w:num w:numId="30">
    <w:abstractNumId w:val="43"/>
  </w:num>
  <w:num w:numId="31">
    <w:abstractNumId w:val="61"/>
  </w:num>
  <w:num w:numId="32">
    <w:abstractNumId w:val="93"/>
  </w:num>
  <w:num w:numId="33">
    <w:abstractNumId w:val="89"/>
  </w:num>
  <w:num w:numId="34">
    <w:abstractNumId w:val="88"/>
  </w:num>
  <w:num w:numId="35">
    <w:abstractNumId w:val="4"/>
  </w:num>
  <w:num w:numId="36">
    <w:abstractNumId w:val="50"/>
  </w:num>
  <w:num w:numId="37">
    <w:abstractNumId w:val="45"/>
  </w:num>
  <w:num w:numId="38">
    <w:abstractNumId w:val="18"/>
  </w:num>
  <w:num w:numId="39">
    <w:abstractNumId w:val="32"/>
  </w:num>
  <w:num w:numId="40">
    <w:abstractNumId w:val="44"/>
  </w:num>
  <w:num w:numId="41">
    <w:abstractNumId w:val="55"/>
  </w:num>
  <w:num w:numId="42">
    <w:abstractNumId w:val="53"/>
  </w:num>
  <w:num w:numId="43">
    <w:abstractNumId w:val="71"/>
  </w:num>
  <w:num w:numId="44">
    <w:abstractNumId w:val="29"/>
  </w:num>
  <w:num w:numId="45">
    <w:abstractNumId w:val="35"/>
  </w:num>
  <w:num w:numId="46">
    <w:abstractNumId w:val="68"/>
  </w:num>
  <w:num w:numId="47">
    <w:abstractNumId w:val="87"/>
  </w:num>
  <w:num w:numId="48">
    <w:abstractNumId w:val="70"/>
  </w:num>
  <w:num w:numId="49">
    <w:abstractNumId w:val="28"/>
  </w:num>
  <w:num w:numId="50">
    <w:abstractNumId w:val="39"/>
  </w:num>
  <w:num w:numId="51">
    <w:abstractNumId w:val="58"/>
  </w:num>
  <w:num w:numId="52">
    <w:abstractNumId w:val="83"/>
  </w:num>
  <w:num w:numId="53">
    <w:abstractNumId w:val="10"/>
  </w:num>
  <w:num w:numId="54">
    <w:abstractNumId w:val="77"/>
  </w:num>
  <w:num w:numId="55">
    <w:abstractNumId w:val="54"/>
  </w:num>
  <w:num w:numId="56">
    <w:abstractNumId w:val="36"/>
  </w:num>
  <w:num w:numId="57">
    <w:abstractNumId w:val="19"/>
  </w:num>
  <w:num w:numId="58">
    <w:abstractNumId w:val="73"/>
  </w:num>
  <w:num w:numId="59">
    <w:abstractNumId w:val="60"/>
  </w:num>
  <w:num w:numId="60">
    <w:abstractNumId w:val="20"/>
  </w:num>
  <w:num w:numId="61">
    <w:abstractNumId w:val="52"/>
  </w:num>
  <w:num w:numId="62">
    <w:abstractNumId w:val="51"/>
  </w:num>
  <w:num w:numId="63">
    <w:abstractNumId w:val="81"/>
  </w:num>
  <w:num w:numId="64">
    <w:abstractNumId w:val="13"/>
  </w:num>
  <w:num w:numId="65">
    <w:abstractNumId w:val="5"/>
  </w:num>
  <w:num w:numId="66">
    <w:abstractNumId w:val="84"/>
  </w:num>
  <w:num w:numId="67">
    <w:abstractNumId w:val="56"/>
  </w:num>
  <w:num w:numId="68">
    <w:abstractNumId w:val="48"/>
  </w:num>
  <w:num w:numId="69">
    <w:abstractNumId w:val="59"/>
  </w:num>
  <w:num w:numId="70">
    <w:abstractNumId w:val="95"/>
  </w:num>
  <w:num w:numId="71">
    <w:abstractNumId w:val="8"/>
  </w:num>
  <w:num w:numId="72">
    <w:abstractNumId w:val="46"/>
  </w:num>
  <w:num w:numId="73">
    <w:abstractNumId w:val="24"/>
  </w:num>
  <w:num w:numId="74">
    <w:abstractNumId w:val="3"/>
  </w:num>
  <w:num w:numId="75">
    <w:abstractNumId w:val="17"/>
  </w:num>
  <w:num w:numId="76">
    <w:abstractNumId w:val="14"/>
  </w:num>
  <w:num w:numId="77">
    <w:abstractNumId w:val="42"/>
  </w:num>
  <w:num w:numId="78">
    <w:abstractNumId w:val="92"/>
  </w:num>
  <w:num w:numId="79">
    <w:abstractNumId w:val="79"/>
  </w:num>
  <w:num w:numId="80">
    <w:abstractNumId w:val="41"/>
  </w:num>
  <w:num w:numId="81">
    <w:abstractNumId w:val="21"/>
  </w:num>
  <w:num w:numId="82">
    <w:abstractNumId w:val="22"/>
  </w:num>
  <w:num w:numId="83">
    <w:abstractNumId w:val="69"/>
  </w:num>
  <w:num w:numId="84">
    <w:abstractNumId w:val="34"/>
  </w:num>
  <w:num w:numId="85">
    <w:abstractNumId w:val="82"/>
  </w:num>
  <w:num w:numId="86">
    <w:abstractNumId w:val="1"/>
  </w:num>
  <w:num w:numId="87">
    <w:abstractNumId w:val="96"/>
  </w:num>
  <w:num w:numId="88">
    <w:abstractNumId w:val="64"/>
  </w:num>
  <w:num w:numId="89">
    <w:abstractNumId w:val="94"/>
  </w:num>
  <w:num w:numId="90">
    <w:abstractNumId w:val="33"/>
  </w:num>
  <w:num w:numId="91">
    <w:abstractNumId w:val="11"/>
  </w:num>
  <w:num w:numId="92">
    <w:abstractNumId w:val="40"/>
  </w:num>
  <w:num w:numId="93">
    <w:abstractNumId w:val="37"/>
  </w:num>
  <w:num w:numId="94">
    <w:abstractNumId w:val="25"/>
  </w:num>
  <w:num w:numId="95">
    <w:abstractNumId w:val="91"/>
  </w:num>
  <w:num w:numId="96">
    <w:abstractNumId w:val="31"/>
  </w:num>
  <w:num w:numId="97">
    <w:abstractNumId w:val="86"/>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gutterAtTop/>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83CF1"/>
    <w:rsid w:val="00215C26"/>
    <w:rsid w:val="00256C2D"/>
    <w:rsid w:val="0028710B"/>
    <w:rsid w:val="003053E7"/>
    <w:rsid w:val="00344028"/>
    <w:rsid w:val="003A2B54"/>
    <w:rsid w:val="00400020"/>
    <w:rsid w:val="004C6AC4"/>
    <w:rsid w:val="005F39C8"/>
    <w:rsid w:val="0063176D"/>
    <w:rsid w:val="00A33428"/>
    <w:rsid w:val="00A84D15"/>
    <w:rsid w:val="00AB0A96"/>
    <w:rsid w:val="00B83CF1"/>
    <w:rsid w:val="00BE425A"/>
    <w:rsid w:val="00C66560"/>
    <w:rsid w:val="00C9410B"/>
    <w:rsid w:val="00CC2F46"/>
    <w:rsid w:val="00D62128"/>
    <w:rsid w:val="00EB737C"/>
    <w:rsid w:val="00F25306"/>
    <w:rsid w:val="00FE379D"/>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20"/>
    <w:pPr>
      <w:spacing w:after="200" w:line="276" w:lineRule="auto"/>
    </w:pPr>
    <w:rPr>
      <w:sz w:val="22"/>
      <w:szCs w:val="22"/>
      <w:lang w:eastAsia="en-US"/>
    </w:rPr>
  </w:style>
  <w:style w:type="paragraph" w:styleId="Ttulo1">
    <w:name w:val="heading 1"/>
    <w:basedOn w:val="Normal"/>
    <w:next w:val="Normal"/>
    <w:link w:val="Ttulo1Carcter"/>
    <w:uiPriority w:val="9"/>
    <w:qFormat/>
    <w:rsid w:val="00400020"/>
    <w:pPr>
      <w:keepNext/>
      <w:spacing w:before="240" w:after="60"/>
      <w:outlineLvl w:val="0"/>
    </w:pPr>
    <w:rPr>
      <w:rFonts w:ascii="Cambria" w:eastAsia="Times New Roman" w:hAnsi="Cambria"/>
      <w:b/>
      <w:bCs/>
      <w:kern w:val="32"/>
      <w:sz w:val="32"/>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cter">
    <w:name w:val="Título 1 Carácter"/>
    <w:basedOn w:val="Tipodeletrapredefinidodopargrafo"/>
    <w:link w:val="Ttulo1"/>
    <w:uiPriority w:val="9"/>
    <w:rsid w:val="00400020"/>
    <w:rPr>
      <w:rFonts w:ascii="Cambria" w:eastAsia="Times New Roman" w:hAnsi="Cambria" w:cs="Times New Roman"/>
      <w:b/>
      <w:bCs/>
      <w:kern w:val="32"/>
      <w:sz w:val="32"/>
      <w:szCs w:val="32"/>
      <w:lang w:eastAsia="en-US"/>
    </w:rPr>
  </w:style>
  <w:style w:type="paragraph" w:styleId="ndice1">
    <w:name w:val="toc 1"/>
    <w:basedOn w:val="Normal"/>
    <w:next w:val="Normal"/>
    <w:autoRedefine/>
    <w:uiPriority w:val="39"/>
    <w:unhideWhenUsed/>
    <w:qFormat/>
    <w:rsid w:val="00400020"/>
    <w:pPr>
      <w:spacing w:before="120" w:after="0"/>
    </w:pPr>
    <w:rPr>
      <w:b/>
      <w:bCs/>
      <w:i/>
      <w:iCs/>
      <w:sz w:val="24"/>
      <w:szCs w:val="24"/>
    </w:rPr>
  </w:style>
  <w:style w:type="paragraph" w:styleId="ndice2">
    <w:name w:val="toc 2"/>
    <w:basedOn w:val="Normal"/>
    <w:next w:val="Normal"/>
    <w:autoRedefine/>
    <w:uiPriority w:val="39"/>
    <w:unhideWhenUsed/>
    <w:qFormat/>
    <w:rsid w:val="00400020"/>
    <w:pPr>
      <w:spacing w:before="120" w:after="0"/>
      <w:ind w:left="220"/>
    </w:pPr>
    <w:rPr>
      <w:b/>
      <w:bCs/>
    </w:rPr>
  </w:style>
  <w:style w:type="paragraph" w:styleId="ndice3">
    <w:name w:val="toc 3"/>
    <w:basedOn w:val="Normal"/>
    <w:next w:val="Normal"/>
    <w:autoRedefine/>
    <w:uiPriority w:val="39"/>
    <w:unhideWhenUsed/>
    <w:qFormat/>
    <w:rsid w:val="00400020"/>
    <w:pPr>
      <w:spacing w:after="0"/>
      <w:ind w:left="440"/>
    </w:pPr>
    <w:rPr>
      <w:sz w:val="20"/>
      <w:szCs w:val="20"/>
    </w:rPr>
  </w:style>
  <w:style w:type="paragraph" w:styleId="Ttulo">
    <w:name w:val="Title"/>
    <w:basedOn w:val="Normal"/>
    <w:link w:val="TtuloCarcter"/>
    <w:qFormat/>
    <w:rsid w:val="00400020"/>
    <w:pPr>
      <w:spacing w:after="0" w:line="240" w:lineRule="auto"/>
      <w:jc w:val="center"/>
    </w:pPr>
    <w:rPr>
      <w:rFonts w:ascii="Verdana" w:eastAsia="Times New Roman" w:hAnsi="Verdana"/>
      <w:b/>
      <w:bCs/>
      <w:sz w:val="24"/>
      <w:szCs w:val="24"/>
      <w:lang w:eastAsia="pt-PT"/>
    </w:rPr>
  </w:style>
  <w:style w:type="character" w:customStyle="1" w:styleId="TtuloCarcter">
    <w:name w:val="Título Carácter"/>
    <w:basedOn w:val="Tipodeletrapredefinidodopargrafo"/>
    <w:link w:val="Ttulo"/>
    <w:rsid w:val="00400020"/>
    <w:rPr>
      <w:rFonts w:ascii="Verdana" w:eastAsia="Times New Roman" w:hAnsi="Verdana" w:cs="Times New Roman"/>
      <w:b/>
      <w:bCs/>
      <w:sz w:val="24"/>
      <w:szCs w:val="24"/>
      <w:lang w:eastAsia="pt-PT"/>
    </w:rPr>
  </w:style>
  <w:style w:type="paragraph" w:styleId="SemEspaamento">
    <w:name w:val="No Spacing"/>
    <w:link w:val="SemEspaamentoCarcter"/>
    <w:uiPriority w:val="1"/>
    <w:qFormat/>
    <w:rsid w:val="00400020"/>
    <w:rPr>
      <w:rFonts w:eastAsia="Times New Roman"/>
      <w:sz w:val="22"/>
      <w:szCs w:val="22"/>
      <w:lang w:eastAsia="en-US"/>
    </w:rPr>
  </w:style>
  <w:style w:type="character" w:customStyle="1" w:styleId="SemEspaamentoCarcter">
    <w:name w:val="Sem Espaçamento Carácter"/>
    <w:basedOn w:val="Tipodeletrapredefinidodopargrafo"/>
    <w:link w:val="SemEspaamento"/>
    <w:uiPriority w:val="1"/>
    <w:rsid w:val="00400020"/>
    <w:rPr>
      <w:rFonts w:eastAsia="Times New Roman"/>
      <w:sz w:val="22"/>
      <w:szCs w:val="22"/>
      <w:lang w:eastAsia="en-US"/>
    </w:rPr>
  </w:style>
  <w:style w:type="paragraph" w:styleId="PargrafodaLista">
    <w:name w:val="List Paragraph"/>
    <w:basedOn w:val="Normal"/>
    <w:uiPriority w:val="34"/>
    <w:qFormat/>
    <w:rsid w:val="00400020"/>
    <w:pPr>
      <w:ind w:left="720"/>
      <w:contextualSpacing/>
    </w:pPr>
  </w:style>
  <w:style w:type="paragraph" w:styleId="Ttulodondice">
    <w:name w:val="TOC Heading"/>
    <w:basedOn w:val="Ttulo1"/>
    <w:next w:val="Normal"/>
    <w:uiPriority w:val="39"/>
    <w:unhideWhenUsed/>
    <w:qFormat/>
    <w:rsid w:val="00400020"/>
    <w:pPr>
      <w:keepLines/>
      <w:spacing w:before="480" w:after="0"/>
      <w:outlineLvl w:val="9"/>
    </w:pPr>
    <w:rPr>
      <w:color w:val="365F91"/>
      <w:kern w:val="0"/>
      <w:sz w:val="28"/>
      <w:szCs w:val="28"/>
    </w:rPr>
  </w:style>
  <w:style w:type="paragraph" w:styleId="NormalWeb">
    <w:name w:val="Normal (Web)"/>
    <w:basedOn w:val="Normal"/>
    <w:uiPriority w:val="99"/>
    <w:unhideWhenUsed/>
    <w:rsid w:val="00B83CF1"/>
    <w:pPr>
      <w:spacing w:before="58" w:after="115" w:line="240" w:lineRule="auto"/>
    </w:pPr>
    <w:rPr>
      <w:rFonts w:ascii="Times New Roman" w:eastAsia="Times New Roman" w:hAnsi="Times New Roman"/>
      <w:sz w:val="24"/>
      <w:szCs w:val="24"/>
      <w:lang w:eastAsia="pt-PT"/>
    </w:rPr>
  </w:style>
  <w:style w:type="character" w:styleId="Forte">
    <w:name w:val="Strong"/>
    <w:basedOn w:val="Tipodeletrapredefinidodopargrafo"/>
    <w:uiPriority w:val="22"/>
    <w:qFormat/>
    <w:rsid w:val="00B83CF1"/>
    <w:rPr>
      <w:b/>
      <w:bCs/>
    </w:rPr>
  </w:style>
  <w:style w:type="paragraph" w:customStyle="1" w:styleId="info">
    <w:name w:val="info"/>
    <w:basedOn w:val="Normal"/>
    <w:rsid w:val="00B83CF1"/>
    <w:pPr>
      <w:spacing w:before="58" w:after="115" w:line="240" w:lineRule="auto"/>
    </w:pPr>
    <w:rPr>
      <w:rFonts w:ascii="Times New Roman" w:eastAsia="Times New Roman" w:hAnsi="Times New Roman"/>
      <w:sz w:val="24"/>
      <w:szCs w:val="24"/>
      <w:lang w:eastAsia="pt-PT"/>
    </w:rPr>
  </w:style>
  <w:style w:type="character" w:styleId="nfase">
    <w:name w:val="Emphasis"/>
    <w:basedOn w:val="Tipodeletrapredefinidodopargrafo"/>
    <w:uiPriority w:val="20"/>
    <w:qFormat/>
    <w:rsid w:val="00B83CF1"/>
    <w:rPr>
      <w:i/>
      <w:iCs/>
    </w:rPr>
  </w:style>
  <w:style w:type="paragraph" w:styleId="Cabealho">
    <w:name w:val="header"/>
    <w:basedOn w:val="Normal"/>
    <w:link w:val="CabealhoCarcter"/>
    <w:uiPriority w:val="99"/>
    <w:semiHidden/>
    <w:unhideWhenUsed/>
    <w:rsid w:val="0028710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semiHidden/>
    <w:rsid w:val="0028710B"/>
    <w:rPr>
      <w:sz w:val="22"/>
      <w:szCs w:val="22"/>
      <w:lang w:eastAsia="en-US"/>
    </w:rPr>
  </w:style>
  <w:style w:type="paragraph" w:styleId="Rodap">
    <w:name w:val="footer"/>
    <w:basedOn w:val="Normal"/>
    <w:link w:val="RodapCarcter"/>
    <w:uiPriority w:val="99"/>
    <w:unhideWhenUsed/>
    <w:rsid w:val="0028710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28710B"/>
    <w:rPr>
      <w:sz w:val="22"/>
      <w:szCs w:val="22"/>
      <w:lang w:eastAsia="en-US"/>
    </w:rPr>
  </w:style>
  <w:style w:type="character" w:styleId="Hiperligao">
    <w:name w:val="Hyperlink"/>
    <w:basedOn w:val="Tipodeletrapredefinidodopargrafo"/>
    <w:uiPriority w:val="99"/>
    <w:unhideWhenUsed/>
    <w:rsid w:val="00256C2D"/>
    <w:rPr>
      <w:color w:val="0000FF" w:themeColor="hyperlink"/>
      <w:u w:val="single"/>
    </w:rPr>
  </w:style>
  <w:style w:type="paragraph" w:styleId="Textodebalo">
    <w:name w:val="Balloon Text"/>
    <w:basedOn w:val="Normal"/>
    <w:link w:val="TextodebaloCarcter"/>
    <w:uiPriority w:val="99"/>
    <w:semiHidden/>
    <w:unhideWhenUsed/>
    <w:rsid w:val="00256C2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256C2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9571667">
      <w:bodyDiv w:val="1"/>
      <w:marLeft w:val="0"/>
      <w:marRight w:val="0"/>
      <w:marTop w:val="0"/>
      <w:marBottom w:val="0"/>
      <w:divBdr>
        <w:top w:val="none" w:sz="0" w:space="0" w:color="auto"/>
        <w:left w:val="none" w:sz="0" w:space="0" w:color="auto"/>
        <w:bottom w:val="none" w:sz="0" w:space="0" w:color="auto"/>
        <w:right w:val="none" w:sz="0" w:space="0" w:color="auto"/>
      </w:divBdr>
      <w:divsChild>
        <w:div w:id="1905682126">
          <w:marLeft w:val="0"/>
          <w:marRight w:val="0"/>
          <w:marTop w:val="0"/>
          <w:marBottom w:val="0"/>
          <w:divBdr>
            <w:top w:val="none" w:sz="0" w:space="0" w:color="auto"/>
            <w:left w:val="none" w:sz="0" w:space="0" w:color="auto"/>
            <w:bottom w:val="none" w:sz="0" w:space="0" w:color="auto"/>
            <w:right w:val="none" w:sz="0" w:space="0" w:color="auto"/>
          </w:divBdr>
          <w:divsChild>
            <w:div w:id="2139882676">
              <w:marLeft w:val="0"/>
              <w:marRight w:val="0"/>
              <w:marTop w:val="0"/>
              <w:marBottom w:val="0"/>
              <w:divBdr>
                <w:top w:val="none" w:sz="0" w:space="0" w:color="auto"/>
                <w:left w:val="none" w:sz="0" w:space="0" w:color="auto"/>
                <w:bottom w:val="none" w:sz="0" w:space="0" w:color="auto"/>
                <w:right w:val="none" w:sz="0" w:space="0" w:color="auto"/>
              </w:divBdr>
              <w:divsChild>
                <w:div w:id="1868252705">
                  <w:marLeft w:val="115"/>
                  <w:marRight w:val="115"/>
                  <w:marTop w:val="0"/>
                  <w:marBottom w:val="0"/>
                  <w:divBdr>
                    <w:top w:val="none" w:sz="0" w:space="0" w:color="auto"/>
                    <w:left w:val="none" w:sz="0" w:space="0" w:color="auto"/>
                    <w:bottom w:val="none" w:sz="0" w:space="0" w:color="auto"/>
                    <w:right w:val="none" w:sz="0" w:space="0" w:color="auto"/>
                  </w:divBdr>
                  <w:divsChild>
                    <w:div w:id="160198590">
                      <w:marLeft w:val="0"/>
                      <w:marRight w:val="0"/>
                      <w:marTop w:val="0"/>
                      <w:marBottom w:val="0"/>
                      <w:divBdr>
                        <w:top w:val="none" w:sz="0" w:space="0" w:color="auto"/>
                        <w:left w:val="none" w:sz="0" w:space="0" w:color="auto"/>
                        <w:bottom w:val="none" w:sz="0" w:space="0" w:color="auto"/>
                        <w:right w:val="none" w:sz="0" w:space="0" w:color="auto"/>
                      </w:divBdr>
                      <w:divsChild>
                        <w:div w:id="1582712437">
                          <w:marLeft w:val="115"/>
                          <w:marRight w:val="115"/>
                          <w:marTop w:val="0"/>
                          <w:marBottom w:val="0"/>
                          <w:divBdr>
                            <w:top w:val="none" w:sz="0" w:space="0" w:color="auto"/>
                            <w:left w:val="none" w:sz="0" w:space="0" w:color="auto"/>
                            <w:bottom w:val="none" w:sz="0" w:space="0" w:color="auto"/>
                            <w:right w:val="none" w:sz="0" w:space="0" w:color="auto"/>
                          </w:divBdr>
                          <w:divsChild>
                            <w:div w:id="939222686">
                              <w:marLeft w:val="0"/>
                              <w:marRight w:val="0"/>
                              <w:marTop w:val="0"/>
                              <w:marBottom w:val="276"/>
                              <w:divBdr>
                                <w:top w:val="none" w:sz="0" w:space="0" w:color="auto"/>
                                <w:left w:val="none" w:sz="0" w:space="0" w:color="auto"/>
                                <w:bottom w:val="dotted" w:sz="4" w:space="14" w:color="CCCCCC"/>
                                <w:right w:val="none" w:sz="0" w:space="0" w:color="auto"/>
                              </w:divBdr>
                              <w:divsChild>
                                <w:div w:id="65433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629011">
      <w:bodyDiv w:val="1"/>
      <w:marLeft w:val="0"/>
      <w:marRight w:val="0"/>
      <w:marTop w:val="0"/>
      <w:marBottom w:val="0"/>
      <w:divBdr>
        <w:top w:val="none" w:sz="0" w:space="0" w:color="auto"/>
        <w:left w:val="none" w:sz="0" w:space="0" w:color="auto"/>
        <w:bottom w:val="none" w:sz="0" w:space="0" w:color="auto"/>
        <w:right w:val="none" w:sz="0" w:space="0" w:color="auto"/>
      </w:divBdr>
      <w:divsChild>
        <w:div w:id="926428340">
          <w:marLeft w:val="0"/>
          <w:marRight w:val="0"/>
          <w:marTop w:val="0"/>
          <w:marBottom w:val="0"/>
          <w:divBdr>
            <w:top w:val="none" w:sz="0" w:space="0" w:color="auto"/>
            <w:left w:val="none" w:sz="0" w:space="0" w:color="auto"/>
            <w:bottom w:val="none" w:sz="0" w:space="0" w:color="auto"/>
            <w:right w:val="none" w:sz="0" w:space="0" w:color="auto"/>
          </w:divBdr>
          <w:divsChild>
            <w:div w:id="610162011">
              <w:marLeft w:val="0"/>
              <w:marRight w:val="0"/>
              <w:marTop w:val="0"/>
              <w:marBottom w:val="0"/>
              <w:divBdr>
                <w:top w:val="none" w:sz="0" w:space="0" w:color="auto"/>
                <w:left w:val="none" w:sz="0" w:space="0" w:color="auto"/>
                <w:bottom w:val="none" w:sz="0" w:space="0" w:color="auto"/>
                <w:right w:val="none" w:sz="0" w:space="0" w:color="auto"/>
              </w:divBdr>
              <w:divsChild>
                <w:div w:id="1673489917">
                  <w:marLeft w:val="115"/>
                  <w:marRight w:val="115"/>
                  <w:marTop w:val="0"/>
                  <w:marBottom w:val="0"/>
                  <w:divBdr>
                    <w:top w:val="none" w:sz="0" w:space="0" w:color="auto"/>
                    <w:left w:val="none" w:sz="0" w:space="0" w:color="auto"/>
                    <w:bottom w:val="none" w:sz="0" w:space="0" w:color="auto"/>
                    <w:right w:val="none" w:sz="0" w:space="0" w:color="auto"/>
                  </w:divBdr>
                  <w:divsChild>
                    <w:div w:id="2043046932">
                      <w:marLeft w:val="0"/>
                      <w:marRight w:val="0"/>
                      <w:marTop w:val="0"/>
                      <w:marBottom w:val="0"/>
                      <w:divBdr>
                        <w:top w:val="none" w:sz="0" w:space="0" w:color="auto"/>
                        <w:left w:val="none" w:sz="0" w:space="0" w:color="auto"/>
                        <w:bottom w:val="none" w:sz="0" w:space="0" w:color="auto"/>
                        <w:right w:val="none" w:sz="0" w:space="0" w:color="auto"/>
                      </w:divBdr>
                      <w:divsChild>
                        <w:div w:id="322517196">
                          <w:marLeft w:val="115"/>
                          <w:marRight w:val="115"/>
                          <w:marTop w:val="0"/>
                          <w:marBottom w:val="0"/>
                          <w:divBdr>
                            <w:top w:val="none" w:sz="0" w:space="0" w:color="auto"/>
                            <w:left w:val="none" w:sz="0" w:space="0" w:color="auto"/>
                            <w:bottom w:val="none" w:sz="0" w:space="0" w:color="auto"/>
                            <w:right w:val="none" w:sz="0" w:space="0" w:color="auto"/>
                          </w:divBdr>
                          <w:divsChild>
                            <w:div w:id="991981469">
                              <w:marLeft w:val="0"/>
                              <w:marRight w:val="0"/>
                              <w:marTop w:val="0"/>
                              <w:marBottom w:val="276"/>
                              <w:divBdr>
                                <w:top w:val="none" w:sz="0" w:space="0" w:color="auto"/>
                                <w:left w:val="none" w:sz="0" w:space="0" w:color="auto"/>
                                <w:bottom w:val="dotted" w:sz="4" w:space="14" w:color="CCCCCC"/>
                                <w:right w:val="none" w:sz="0" w:space="0" w:color="auto"/>
                              </w:divBdr>
                              <w:divsChild>
                                <w:div w:id="463501462">
                                  <w:marLeft w:val="0"/>
                                  <w:marRight w:val="0"/>
                                  <w:marTop w:val="0"/>
                                  <w:marBottom w:val="0"/>
                                  <w:divBdr>
                                    <w:top w:val="none" w:sz="0" w:space="0" w:color="auto"/>
                                    <w:left w:val="none" w:sz="0" w:space="0" w:color="auto"/>
                                    <w:bottom w:val="none" w:sz="0" w:space="0" w:color="auto"/>
                                    <w:right w:val="none" w:sz="0" w:space="0" w:color="auto"/>
                                  </w:divBdr>
                                  <w:divsChild>
                                    <w:div w:id="1595899713">
                                      <w:marLeft w:val="0"/>
                                      <w:marRight w:val="0"/>
                                      <w:marTop w:val="0"/>
                                      <w:marBottom w:val="0"/>
                                      <w:divBdr>
                                        <w:top w:val="none" w:sz="0" w:space="0" w:color="auto"/>
                                        <w:left w:val="none" w:sz="0" w:space="0" w:color="auto"/>
                                        <w:bottom w:val="none" w:sz="0" w:space="0" w:color="auto"/>
                                        <w:right w:val="none" w:sz="0" w:space="0" w:color="auto"/>
                                      </w:divBdr>
                                    </w:div>
                                    <w:div w:id="598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00481">
      <w:bodyDiv w:val="1"/>
      <w:marLeft w:val="0"/>
      <w:marRight w:val="0"/>
      <w:marTop w:val="0"/>
      <w:marBottom w:val="0"/>
      <w:divBdr>
        <w:top w:val="none" w:sz="0" w:space="0" w:color="auto"/>
        <w:left w:val="none" w:sz="0" w:space="0" w:color="auto"/>
        <w:bottom w:val="none" w:sz="0" w:space="0" w:color="auto"/>
        <w:right w:val="none" w:sz="0" w:space="0" w:color="auto"/>
      </w:divBdr>
      <w:divsChild>
        <w:div w:id="1145514744">
          <w:marLeft w:val="0"/>
          <w:marRight w:val="0"/>
          <w:marTop w:val="0"/>
          <w:marBottom w:val="0"/>
          <w:divBdr>
            <w:top w:val="none" w:sz="0" w:space="0" w:color="auto"/>
            <w:left w:val="none" w:sz="0" w:space="0" w:color="auto"/>
            <w:bottom w:val="none" w:sz="0" w:space="0" w:color="auto"/>
            <w:right w:val="none" w:sz="0" w:space="0" w:color="auto"/>
          </w:divBdr>
          <w:divsChild>
            <w:div w:id="1584139924">
              <w:marLeft w:val="0"/>
              <w:marRight w:val="0"/>
              <w:marTop w:val="0"/>
              <w:marBottom w:val="0"/>
              <w:divBdr>
                <w:top w:val="none" w:sz="0" w:space="0" w:color="auto"/>
                <w:left w:val="none" w:sz="0" w:space="0" w:color="auto"/>
                <w:bottom w:val="none" w:sz="0" w:space="0" w:color="auto"/>
                <w:right w:val="none" w:sz="0" w:space="0" w:color="auto"/>
              </w:divBdr>
              <w:divsChild>
                <w:div w:id="137309073">
                  <w:marLeft w:val="115"/>
                  <w:marRight w:val="115"/>
                  <w:marTop w:val="0"/>
                  <w:marBottom w:val="0"/>
                  <w:divBdr>
                    <w:top w:val="none" w:sz="0" w:space="0" w:color="auto"/>
                    <w:left w:val="none" w:sz="0" w:space="0" w:color="auto"/>
                    <w:bottom w:val="none" w:sz="0" w:space="0" w:color="auto"/>
                    <w:right w:val="none" w:sz="0" w:space="0" w:color="auto"/>
                  </w:divBdr>
                  <w:divsChild>
                    <w:div w:id="1086611536">
                      <w:marLeft w:val="0"/>
                      <w:marRight w:val="0"/>
                      <w:marTop w:val="0"/>
                      <w:marBottom w:val="0"/>
                      <w:divBdr>
                        <w:top w:val="none" w:sz="0" w:space="0" w:color="auto"/>
                        <w:left w:val="none" w:sz="0" w:space="0" w:color="auto"/>
                        <w:bottom w:val="none" w:sz="0" w:space="0" w:color="auto"/>
                        <w:right w:val="none" w:sz="0" w:space="0" w:color="auto"/>
                      </w:divBdr>
                      <w:divsChild>
                        <w:div w:id="601911382">
                          <w:marLeft w:val="115"/>
                          <w:marRight w:val="115"/>
                          <w:marTop w:val="0"/>
                          <w:marBottom w:val="0"/>
                          <w:divBdr>
                            <w:top w:val="none" w:sz="0" w:space="0" w:color="auto"/>
                            <w:left w:val="none" w:sz="0" w:space="0" w:color="auto"/>
                            <w:bottom w:val="none" w:sz="0" w:space="0" w:color="auto"/>
                            <w:right w:val="none" w:sz="0" w:space="0" w:color="auto"/>
                          </w:divBdr>
                          <w:divsChild>
                            <w:div w:id="52780583">
                              <w:marLeft w:val="0"/>
                              <w:marRight w:val="0"/>
                              <w:marTop w:val="0"/>
                              <w:marBottom w:val="276"/>
                              <w:divBdr>
                                <w:top w:val="none" w:sz="0" w:space="0" w:color="auto"/>
                                <w:left w:val="none" w:sz="0" w:space="0" w:color="auto"/>
                                <w:bottom w:val="dotted" w:sz="4" w:space="14" w:color="CCCCCC"/>
                                <w:right w:val="none" w:sz="0" w:space="0" w:color="auto"/>
                              </w:divBdr>
                              <w:divsChild>
                                <w:div w:id="980693269">
                                  <w:marLeft w:val="0"/>
                                  <w:marRight w:val="0"/>
                                  <w:marTop w:val="0"/>
                                  <w:marBottom w:val="0"/>
                                  <w:divBdr>
                                    <w:top w:val="none" w:sz="0" w:space="0" w:color="auto"/>
                                    <w:left w:val="none" w:sz="0" w:space="0" w:color="auto"/>
                                    <w:bottom w:val="none" w:sz="0" w:space="0" w:color="auto"/>
                                    <w:right w:val="none" w:sz="0" w:space="0" w:color="auto"/>
                                  </w:divBdr>
                                  <w:divsChild>
                                    <w:div w:id="2099405634">
                                      <w:marLeft w:val="0"/>
                                      <w:marRight w:val="0"/>
                                      <w:marTop w:val="0"/>
                                      <w:marBottom w:val="0"/>
                                      <w:divBdr>
                                        <w:top w:val="none" w:sz="0" w:space="0" w:color="auto"/>
                                        <w:left w:val="none" w:sz="0" w:space="0" w:color="auto"/>
                                        <w:bottom w:val="none" w:sz="0" w:space="0" w:color="auto"/>
                                        <w:right w:val="none" w:sz="0" w:space="0" w:color="auto"/>
                                      </w:divBdr>
                                    </w:div>
                                    <w:div w:id="104012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958877">
      <w:bodyDiv w:val="1"/>
      <w:marLeft w:val="0"/>
      <w:marRight w:val="0"/>
      <w:marTop w:val="0"/>
      <w:marBottom w:val="0"/>
      <w:divBdr>
        <w:top w:val="none" w:sz="0" w:space="0" w:color="auto"/>
        <w:left w:val="none" w:sz="0" w:space="0" w:color="auto"/>
        <w:bottom w:val="none" w:sz="0" w:space="0" w:color="auto"/>
        <w:right w:val="none" w:sz="0" w:space="0" w:color="auto"/>
      </w:divBdr>
      <w:divsChild>
        <w:div w:id="20010103">
          <w:marLeft w:val="0"/>
          <w:marRight w:val="0"/>
          <w:marTop w:val="0"/>
          <w:marBottom w:val="0"/>
          <w:divBdr>
            <w:top w:val="none" w:sz="0" w:space="0" w:color="auto"/>
            <w:left w:val="none" w:sz="0" w:space="0" w:color="auto"/>
            <w:bottom w:val="none" w:sz="0" w:space="0" w:color="auto"/>
            <w:right w:val="none" w:sz="0" w:space="0" w:color="auto"/>
          </w:divBdr>
          <w:divsChild>
            <w:div w:id="1883908129">
              <w:marLeft w:val="0"/>
              <w:marRight w:val="0"/>
              <w:marTop w:val="0"/>
              <w:marBottom w:val="0"/>
              <w:divBdr>
                <w:top w:val="none" w:sz="0" w:space="0" w:color="auto"/>
                <w:left w:val="none" w:sz="0" w:space="0" w:color="auto"/>
                <w:bottom w:val="none" w:sz="0" w:space="0" w:color="auto"/>
                <w:right w:val="none" w:sz="0" w:space="0" w:color="auto"/>
              </w:divBdr>
              <w:divsChild>
                <w:div w:id="1369454655">
                  <w:marLeft w:val="115"/>
                  <w:marRight w:val="115"/>
                  <w:marTop w:val="0"/>
                  <w:marBottom w:val="0"/>
                  <w:divBdr>
                    <w:top w:val="none" w:sz="0" w:space="0" w:color="auto"/>
                    <w:left w:val="none" w:sz="0" w:space="0" w:color="auto"/>
                    <w:bottom w:val="none" w:sz="0" w:space="0" w:color="auto"/>
                    <w:right w:val="none" w:sz="0" w:space="0" w:color="auto"/>
                  </w:divBdr>
                  <w:divsChild>
                    <w:div w:id="1004555078">
                      <w:marLeft w:val="0"/>
                      <w:marRight w:val="0"/>
                      <w:marTop w:val="0"/>
                      <w:marBottom w:val="0"/>
                      <w:divBdr>
                        <w:top w:val="none" w:sz="0" w:space="0" w:color="auto"/>
                        <w:left w:val="none" w:sz="0" w:space="0" w:color="auto"/>
                        <w:bottom w:val="none" w:sz="0" w:space="0" w:color="auto"/>
                        <w:right w:val="none" w:sz="0" w:space="0" w:color="auto"/>
                      </w:divBdr>
                      <w:divsChild>
                        <w:div w:id="1690062912">
                          <w:marLeft w:val="115"/>
                          <w:marRight w:val="115"/>
                          <w:marTop w:val="0"/>
                          <w:marBottom w:val="0"/>
                          <w:divBdr>
                            <w:top w:val="none" w:sz="0" w:space="0" w:color="auto"/>
                            <w:left w:val="none" w:sz="0" w:space="0" w:color="auto"/>
                            <w:bottom w:val="none" w:sz="0" w:space="0" w:color="auto"/>
                            <w:right w:val="none" w:sz="0" w:space="0" w:color="auto"/>
                          </w:divBdr>
                          <w:divsChild>
                            <w:div w:id="1524587943">
                              <w:marLeft w:val="0"/>
                              <w:marRight w:val="0"/>
                              <w:marTop w:val="0"/>
                              <w:marBottom w:val="276"/>
                              <w:divBdr>
                                <w:top w:val="none" w:sz="0" w:space="0" w:color="auto"/>
                                <w:left w:val="none" w:sz="0" w:space="0" w:color="auto"/>
                                <w:bottom w:val="dotted" w:sz="4" w:space="14" w:color="CCCCCC"/>
                                <w:right w:val="none" w:sz="0" w:space="0" w:color="auto"/>
                              </w:divBdr>
                              <w:divsChild>
                                <w:div w:id="911113050">
                                  <w:marLeft w:val="0"/>
                                  <w:marRight w:val="0"/>
                                  <w:marTop w:val="0"/>
                                  <w:marBottom w:val="0"/>
                                  <w:divBdr>
                                    <w:top w:val="none" w:sz="0" w:space="0" w:color="auto"/>
                                    <w:left w:val="none" w:sz="0" w:space="0" w:color="auto"/>
                                    <w:bottom w:val="none" w:sz="0" w:space="0" w:color="auto"/>
                                    <w:right w:val="none" w:sz="0" w:space="0" w:color="auto"/>
                                  </w:divBdr>
                                  <w:divsChild>
                                    <w:div w:id="2042508563">
                                      <w:marLeft w:val="0"/>
                                      <w:marRight w:val="0"/>
                                      <w:marTop w:val="0"/>
                                      <w:marBottom w:val="0"/>
                                      <w:divBdr>
                                        <w:top w:val="none" w:sz="0" w:space="0" w:color="auto"/>
                                        <w:left w:val="none" w:sz="0" w:space="0" w:color="auto"/>
                                        <w:bottom w:val="none" w:sz="0" w:space="0" w:color="auto"/>
                                        <w:right w:val="none" w:sz="0" w:space="0" w:color="auto"/>
                                      </w:divBdr>
                                    </w:div>
                                    <w:div w:id="33006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99723">
      <w:bodyDiv w:val="1"/>
      <w:marLeft w:val="0"/>
      <w:marRight w:val="0"/>
      <w:marTop w:val="0"/>
      <w:marBottom w:val="0"/>
      <w:divBdr>
        <w:top w:val="none" w:sz="0" w:space="0" w:color="auto"/>
        <w:left w:val="none" w:sz="0" w:space="0" w:color="auto"/>
        <w:bottom w:val="none" w:sz="0" w:space="0" w:color="auto"/>
        <w:right w:val="none" w:sz="0" w:space="0" w:color="auto"/>
      </w:divBdr>
      <w:divsChild>
        <w:div w:id="1139807961">
          <w:marLeft w:val="0"/>
          <w:marRight w:val="0"/>
          <w:marTop w:val="0"/>
          <w:marBottom w:val="0"/>
          <w:divBdr>
            <w:top w:val="none" w:sz="0" w:space="0" w:color="auto"/>
            <w:left w:val="none" w:sz="0" w:space="0" w:color="auto"/>
            <w:bottom w:val="none" w:sz="0" w:space="0" w:color="auto"/>
            <w:right w:val="none" w:sz="0" w:space="0" w:color="auto"/>
          </w:divBdr>
          <w:divsChild>
            <w:div w:id="312755266">
              <w:marLeft w:val="0"/>
              <w:marRight w:val="0"/>
              <w:marTop w:val="0"/>
              <w:marBottom w:val="0"/>
              <w:divBdr>
                <w:top w:val="none" w:sz="0" w:space="0" w:color="auto"/>
                <w:left w:val="none" w:sz="0" w:space="0" w:color="auto"/>
                <w:bottom w:val="none" w:sz="0" w:space="0" w:color="auto"/>
                <w:right w:val="none" w:sz="0" w:space="0" w:color="auto"/>
              </w:divBdr>
              <w:divsChild>
                <w:div w:id="1169902097">
                  <w:marLeft w:val="115"/>
                  <w:marRight w:val="115"/>
                  <w:marTop w:val="0"/>
                  <w:marBottom w:val="0"/>
                  <w:divBdr>
                    <w:top w:val="none" w:sz="0" w:space="0" w:color="auto"/>
                    <w:left w:val="none" w:sz="0" w:space="0" w:color="auto"/>
                    <w:bottom w:val="none" w:sz="0" w:space="0" w:color="auto"/>
                    <w:right w:val="none" w:sz="0" w:space="0" w:color="auto"/>
                  </w:divBdr>
                  <w:divsChild>
                    <w:div w:id="2072263512">
                      <w:marLeft w:val="0"/>
                      <w:marRight w:val="0"/>
                      <w:marTop w:val="0"/>
                      <w:marBottom w:val="0"/>
                      <w:divBdr>
                        <w:top w:val="none" w:sz="0" w:space="0" w:color="auto"/>
                        <w:left w:val="none" w:sz="0" w:space="0" w:color="auto"/>
                        <w:bottom w:val="none" w:sz="0" w:space="0" w:color="auto"/>
                        <w:right w:val="none" w:sz="0" w:space="0" w:color="auto"/>
                      </w:divBdr>
                      <w:divsChild>
                        <w:div w:id="1237742827">
                          <w:marLeft w:val="115"/>
                          <w:marRight w:val="115"/>
                          <w:marTop w:val="0"/>
                          <w:marBottom w:val="0"/>
                          <w:divBdr>
                            <w:top w:val="none" w:sz="0" w:space="0" w:color="auto"/>
                            <w:left w:val="none" w:sz="0" w:space="0" w:color="auto"/>
                            <w:bottom w:val="none" w:sz="0" w:space="0" w:color="auto"/>
                            <w:right w:val="none" w:sz="0" w:space="0" w:color="auto"/>
                          </w:divBdr>
                          <w:divsChild>
                            <w:div w:id="2021664619">
                              <w:marLeft w:val="0"/>
                              <w:marRight w:val="0"/>
                              <w:marTop w:val="0"/>
                              <w:marBottom w:val="276"/>
                              <w:divBdr>
                                <w:top w:val="none" w:sz="0" w:space="0" w:color="auto"/>
                                <w:left w:val="none" w:sz="0" w:space="0" w:color="auto"/>
                                <w:bottom w:val="dotted" w:sz="4" w:space="14" w:color="CCCCCC"/>
                                <w:right w:val="none" w:sz="0" w:space="0" w:color="auto"/>
                              </w:divBdr>
                              <w:divsChild>
                                <w:div w:id="18024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03904">
      <w:bodyDiv w:val="1"/>
      <w:marLeft w:val="0"/>
      <w:marRight w:val="0"/>
      <w:marTop w:val="0"/>
      <w:marBottom w:val="0"/>
      <w:divBdr>
        <w:top w:val="none" w:sz="0" w:space="0" w:color="auto"/>
        <w:left w:val="none" w:sz="0" w:space="0" w:color="auto"/>
        <w:bottom w:val="none" w:sz="0" w:space="0" w:color="auto"/>
        <w:right w:val="none" w:sz="0" w:space="0" w:color="auto"/>
      </w:divBdr>
      <w:divsChild>
        <w:div w:id="1262448458">
          <w:marLeft w:val="0"/>
          <w:marRight w:val="0"/>
          <w:marTop w:val="0"/>
          <w:marBottom w:val="0"/>
          <w:divBdr>
            <w:top w:val="none" w:sz="0" w:space="0" w:color="auto"/>
            <w:left w:val="none" w:sz="0" w:space="0" w:color="auto"/>
            <w:bottom w:val="none" w:sz="0" w:space="0" w:color="auto"/>
            <w:right w:val="none" w:sz="0" w:space="0" w:color="auto"/>
          </w:divBdr>
          <w:divsChild>
            <w:div w:id="1438327782">
              <w:marLeft w:val="0"/>
              <w:marRight w:val="0"/>
              <w:marTop w:val="0"/>
              <w:marBottom w:val="0"/>
              <w:divBdr>
                <w:top w:val="none" w:sz="0" w:space="0" w:color="auto"/>
                <w:left w:val="none" w:sz="0" w:space="0" w:color="auto"/>
                <w:bottom w:val="none" w:sz="0" w:space="0" w:color="auto"/>
                <w:right w:val="none" w:sz="0" w:space="0" w:color="auto"/>
              </w:divBdr>
              <w:divsChild>
                <w:div w:id="793669815">
                  <w:marLeft w:val="115"/>
                  <w:marRight w:val="115"/>
                  <w:marTop w:val="0"/>
                  <w:marBottom w:val="0"/>
                  <w:divBdr>
                    <w:top w:val="none" w:sz="0" w:space="0" w:color="auto"/>
                    <w:left w:val="none" w:sz="0" w:space="0" w:color="auto"/>
                    <w:bottom w:val="none" w:sz="0" w:space="0" w:color="auto"/>
                    <w:right w:val="none" w:sz="0" w:space="0" w:color="auto"/>
                  </w:divBdr>
                  <w:divsChild>
                    <w:div w:id="1693140941">
                      <w:marLeft w:val="0"/>
                      <w:marRight w:val="0"/>
                      <w:marTop w:val="0"/>
                      <w:marBottom w:val="0"/>
                      <w:divBdr>
                        <w:top w:val="none" w:sz="0" w:space="0" w:color="auto"/>
                        <w:left w:val="none" w:sz="0" w:space="0" w:color="auto"/>
                        <w:bottom w:val="none" w:sz="0" w:space="0" w:color="auto"/>
                        <w:right w:val="none" w:sz="0" w:space="0" w:color="auto"/>
                      </w:divBdr>
                      <w:divsChild>
                        <w:div w:id="1117867276">
                          <w:marLeft w:val="115"/>
                          <w:marRight w:val="115"/>
                          <w:marTop w:val="0"/>
                          <w:marBottom w:val="0"/>
                          <w:divBdr>
                            <w:top w:val="none" w:sz="0" w:space="0" w:color="auto"/>
                            <w:left w:val="none" w:sz="0" w:space="0" w:color="auto"/>
                            <w:bottom w:val="none" w:sz="0" w:space="0" w:color="auto"/>
                            <w:right w:val="none" w:sz="0" w:space="0" w:color="auto"/>
                          </w:divBdr>
                          <w:divsChild>
                            <w:div w:id="532234133">
                              <w:marLeft w:val="0"/>
                              <w:marRight w:val="0"/>
                              <w:marTop w:val="0"/>
                              <w:marBottom w:val="276"/>
                              <w:divBdr>
                                <w:top w:val="none" w:sz="0" w:space="0" w:color="auto"/>
                                <w:left w:val="none" w:sz="0" w:space="0" w:color="auto"/>
                                <w:bottom w:val="dotted" w:sz="4" w:space="14" w:color="CCCCCC"/>
                                <w:right w:val="none" w:sz="0" w:space="0" w:color="auto"/>
                              </w:divBdr>
                              <w:divsChild>
                                <w:div w:id="85658342">
                                  <w:marLeft w:val="0"/>
                                  <w:marRight w:val="0"/>
                                  <w:marTop w:val="0"/>
                                  <w:marBottom w:val="0"/>
                                  <w:divBdr>
                                    <w:top w:val="none" w:sz="0" w:space="0" w:color="auto"/>
                                    <w:left w:val="none" w:sz="0" w:space="0" w:color="auto"/>
                                    <w:bottom w:val="none" w:sz="0" w:space="0" w:color="auto"/>
                                    <w:right w:val="none" w:sz="0" w:space="0" w:color="auto"/>
                                  </w:divBdr>
                                  <w:divsChild>
                                    <w:div w:id="70204242">
                                      <w:marLeft w:val="0"/>
                                      <w:marRight w:val="0"/>
                                      <w:marTop w:val="0"/>
                                      <w:marBottom w:val="0"/>
                                      <w:divBdr>
                                        <w:top w:val="none" w:sz="0" w:space="0" w:color="auto"/>
                                        <w:left w:val="none" w:sz="0" w:space="0" w:color="auto"/>
                                        <w:bottom w:val="none" w:sz="0" w:space="0" w:color="auto"/>
                                        <w:right w:val="none" w:sz="0" w:space="0" w:color="auto"/>
                                      </w:divBdr>
                                    </w:div>
                                    <w:div w:id="150779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834859">
      <w:bodyDiv w:val="1"/>
      <w:marLeft w:val="0"/>
      <w:marRight w:val="0"/>
      <w:marTop w:val="0"/>
      <w:marBottom w:val="0"/>
      <w:divBdr>
        <w:top w:val="none" w:sz="0" w:space="0" w:color="auto"/>
        <w:left w:val="none" w:sz="0" w:space="0" w:color="auto"/>
        <w:bottom w:val="none" w:sz="0" w:space="0" w:color="auto"/>
        <w:right w:val="none" w:sz="0" w:space="0" w:color="auto"/>
      </w:divBdr>
      <w:divsChild>
        <w:div w:id="849686034">
          <w:marLeft w:val="0"/>
          <w:marRight w:val="0"/>
          <w:marTop w:val="0"/>
          <w:marBottom w:val="0"/>
          <w:divBdr>
            <w:top w:val="none" w:sz="0" w:space="0" w:color="auto"/>
            <w:left w:val="none" w:sz="0" w:space="0" w:color="auto"/>
            <w:bottom w:val="none" w:sz="0" w:space="0" w:color="auto"/>
            <w:right w:val="none" w:sz="0" w:space="0" w:color="auto"/>
          </w:divBdr>
          <w:divsChild>
            <w:div w:id="1080827320">
              <w:marLeft w:val="0"/>
              <w:marRight w:val="0"/>
              <w:marTop w:val="0"/>
              <w:marBottom w:val="0"/>
              <w:divBdr>
                <w:top w:val="none" w:sz="0" w:space="0" w:color="auto"/>
                <w:left w:val="none" w:sz="0" w:space="0" w:color="auto"/>
                <w:bottom w:val="none" w:sz="0" w:space="0" w:color="auto"/>
                <w:right w:val="none" w:sz="0" w:space="0" w:color="auto"/>
              </w:divBdr>
              <w:divsChild>
                <w:div w:id="1337001035">
                  <w:marLeft w:val="115"/>
                  <w:marRight w:val="115"/>
                  <w:marTop w:val="0"/>
                  <w:marBottom w:val="0"/>
                  <w:divBdr>
                    <w:top w:val="none" w:sz="0" w:space="0" w:color="auto"/>
                    <w:left w:val="none" w:sz="0" w:space="0" w:color="auto"/>
                    <w:bottom w:val="none" w:sz="0" w:space="0" w:color="auto"/>
                    <w:right w:val="none" w:sz="0" w:space="0" w:color="auto"/>
                  </w:divBdr>
                  <w:divsChild>
                    <w:div w:id="1027487847">
                      <w:marLeft w:val="0"/>
                      <w:marRight w:val="0"/>
                      <w:marTop w:val="0"/>
                      <w:marBottom w:val="0"/>
                      <w:divBdr>
                        <w:top w:val="none" w:sz="0" w:space="0" w:color="auto"/>
                        <w:left w:val="none" w:sz="0" w:space="0" w:color="auto"/>
                        <w:bottom w:val="none" w:sz="0" w:space="0" w:color="auto"/>
                        <w:right w:val="none" w:sz="0" w:space="0" w:color="auto"/>
                      </w:divBdr>
                      <w:divsChild>
                        <w:div w:id="6372771">
                          <w:marLeft w:val="115"/>
                          <w:marRight w:val="115"/>
                          <w:marTop w:val="0"/>
                          <w:marBottom w:val="0"/>
                          <w:divBdr>
                            <w:top w:val="none" w:sz="0" w:space="0" w:color="auto"/>
                            <w:left w:val="none" w:sz="0" w:space="0" w:color="auto"/>
                            <w:bottom w:val="none" w:sz="0" w:space="0" w:color="auto"/>
                            <w:right w:val="none" w:sz="0" w:space="0" w:color="auto"/>
                          </w:divBdr>
                          <w:divsChild>
                            <w:div w:id="1132409809">
                              <w:marLeft w:val="0"/>
                              <w:marRight w:val="0"/>
                              <w:marTop w:val="0"/>
                              <w:marBottom w:val="276"/>
                              <w:divBdr>
                                <w:top w:val="none" w:sz="0" w:space="0" w:color="auto"/>
                                <w:left w:val="none" w:sz="0" w:space="0" w:color="auto"/>
                                <w:bottom w:val="dotted" w:sz="4" w:space="14" w:color="CCCCCC"/>
                                <w:right w:val="none" w:sz="0" w:space="0" w:color="auto"/>
                              </w:divBdr>
                              <w:divsChild>
                                <w:div w:id="55921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4925750">
      <w:bodyDiv w:val="1"/>
      <w:marLeft w:val="0"/>
      <w:marRight w:val="0"/>
      <w:marTop w:val="0"/>
      <w:marBottom w:val="0"/>
      <w:divBdr>
        <w:top w:val="none" w:sz="0" w:space="0" w:color="auto"/>
        <w:left w:val="none" w:sz="0" w:space="0" w:color="auto"/>
        <w:bottom w:val="none" w:sz="0" w:space="0" w:color="auto"/>
        <w:right w:val="none" w:sz="0" w:space="0" w:color="auto"/>
      </w:divBdr>
      <w:divsChild>
        <w:div w:id="1592156941">
          <w:marLeft w:val="0"/>
          <w:marRight w:val="0"/>
          <w:marTop w:val="0"/>
          <w:marBottom w:val="0"/>
          <w:divBdr>
            <w:top w:val="none" w:sz="0" w:space="0" w:color="auto"/>
            <w:left w:val="none" w:sz="0" w:space="0" w:color="auto"/>
            <w:bottom w:val="none" w:sz="0" w:space="0" w:color="auto"/>
            <w:right w:val="none" w:sz="0" w:space="0" w:color="auto"/>
          </w:divBdr>
          <w:divsChild>
            <w:div w:id="651369156">
              <w:marLeft w:val="0"/>
              <w:marRight w:val="0"/>
              <w:marTop w:val="0"/>
              <w:marBottom w:val="0"/>
              <w:divBdr>
                <w:top w:val="none" w:sz="0" w:space="0" w:color="auto"/>
                <w:left w:val="none" w:sz="0" w:space="0" w:color="auto"/>
                <w:bottom w:val="none" w:sz="0" w:space="0" w:color="auto"/>
                <w:right w:val="none" w:sz="0" w:space="0" w:color="auto"/>
              </w:divBdr>
              <w:divsChild>
                <w:div w:id="1113591476">
                  <w:marLeft w:val="115"/>
                  <w:marRight w:val="115"/>
                  <w:marTop w:val="0"/>
                  <w:marBottom w:val="0"/>
                  <w:divBdr>
                    <w:top w:val="none" w:sz="0" w:space="0" w:color="auto"/>
                    <w:left w:val="none" w:sz="0" w:space="0" w:color="auto"/>
                    <w:bottom w:val="none" w:sz="0" w:space="0" w:color="auto"/>
                    <w:right w:val="none" w:sz="0" w:space="0" w:color="auto"/>
                  </w:divBdr>
                  <w:divsChild>
                    <w:div w:id="1412655220">
                      <w:marLeft w:val="0"/>
                      <w:marRight w:val="0"/>
                      <w:marTop w:val="0"/>
                      <w:marBottom w:val="0"/>
                      <w:divBdr>
                        <w:top w:val="none" w:sz="0" w:space="0" w:color="auto"/>
                        <w:left w:val="none" w:sz="0" w:space="0" w:color="auto"/>
                        <w:bottom w:val="none" w:sz="0" w:space="0" w:color="auto"/>
                        <w:right w:val="none" w:sz="0" w:space="0" w:color="auto"/>
                      </w:divBdr>
                      <w:divsChild>
                        <w:div w:id="131101843">
                          <w:marLeft w:val="115"/>
                          <w:marRight w:val="115"/>
                          <w:marTop w:val="0"/>
                          <w:marBottom w:val="0"/>
                          <w:divBdr>
                            <w:top w:val="none" w:sz="0" w:space="0" w:color="auto"/>
                            <w:left w:val="none" w:sz="0" w:space="0" w:color="auto"/>
                            <w:bottom w:val="none" w:sz="0" w:space="0" w:color="auto"/>
                            <w:right w:val="none" w:sz="0" w:space="0" w:color="auto"/>
                          </w:divBdr>
                          <w:divsChild>
                            <w:div w:id="508639466">
                              <w:marLeft w:val="0"/>
                              <w:marRight w:val="0"/>
                              <w:marTop w:val="0"/>
                              <w:marBottom w:val="276"/>
                              <w:divBdr>
                                <w:top w:val="none" w:sz="0" w:space="0" w:color="auto"/>
                                <w:left w:val="none" w:sz="0" w:space="0" w:color="auto"/>
                                <w:bottom w:val="dotted" w:sz="4" w:space="14" w:color="CCCCCC"/>
                                <w:right w:val="none" w:sz="0" w:space="0" w:color="auto"/>
                              </w:divBdr>
                              <w:divsChild>
                                <w:div w:id="1042286363">
                                  <w:marLeft w:val="0"/>
                                  <w:marRight w:val="0"/>
                                  <w:marTop w:val="0"/>
                                  <w:marBottom w:val="0"/>
                                  <w:divBdr>
                                    <w:top w:val="none" w:sz="0" w:space="0" w:color="auto"/>
                                    <w:left w:val="none" w:sz="0" w:space="0" w:color="auto"/>
                                    <w:bottom w:val="none" w:sz="0" w:space="0" w:color="auto"/>
                                    <w:right w:val="none" w:sz="0" w:space="0" w:color="auto"/>
                                  </w:divBdr>
                                  <w:divsChild>
                                    <w:div w:id="2001499970">
                                      <w:marLeft w:val="0"/>
                                      <w:marRight w:val="0"/>
                                      <w:marTop w:val="0"/>
                                      <w:marBottom w:val="0"/>
                                      <w:divBdr>
                                        <w:top w:val="none" w:sz="0" w:space="0" w:color="auto"/>
                                        <w:left w:val="none" w:sz="0" w:space="0" w:color="auto"/>
                                        <w:bottom w:val="none" w:sz="0" w:space="0" w:color="auto"/>
                                        <w:right w:val="none" w:sz="0" w:space="0" w:color="auto"/>
                                      </w:divBdr>
                                    </w:div>
                                    <w:div w:id="92577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168912">
      <w:bodyDiv w:val="1"/>
      <w:marLeft w:val="0"/>
      <w:marRight w:val="0"/>
      <w:marTop w:val="0"/>
      <w:marBottom w:val="0"/>
      <w:divBdr>
        <w:top w:val="none" w:sz="0" w:space="0" w:color="auto"/>
        <w:left w:val="none" w:sz="0" w:space="0" w:color="auto"/>
        <w:bottom w:val="none" w:sz="0" w:space="0" w:color="auto"/>
        <w:right w:val="none" w:sz="0" w:space="0" w:color="auto"/>
      </w:divBdr>
      <w:divsChild>
        <w:div w:id="74474834">
          <w:marLeft w:val="0"/>
          <w:marRight w:val="0"/>
          <w:marTop w:val="0"/>
          <w:marBottom w:val="0"/>
          <w:divBdr>
            <w:top w:val="none" w:sz="0" w:space="0" w:color="auto"/>
            <w:left w:val="none" w:sz="0" w:space="0" w:color="auto"/>
            <w:bottom w:val="none" w:sz="0" w:space="0" w:color="auto"/>
            <w:right w:val="none" w:sz="0" w:space="0" w:color="auto"/>
          </w:divBdr>
          <w:divsChild>
            <w:div w:id="1926957704">
              <w:marLeft w:val="0"/>
              <w:marRight w:val="0"/>
              <w:marTop w:val="0"/>
              <w:marBottom w:val="0"/>
              <w:divBdr>
                <w:top w:val="none" w:sz="0" w:space="0" w:color="auto"/>
                <w:left w:val="none" w:sz="0" w:space="0" w:color="auto"/>
                <w:bottom w:val="none" w:sz="0" w:space="0" w:color="auto"/>
                <w:right w:val="none" w:sz="0" w:space="0" w:color="auto"/>
              </w:divBdr>
              <w:divsChild>
                <w:div w:id="1151018240">
                  <w:marLeft w:val="115"/>
                  <w:marRight w:val="115"/>
                  <w:marTop w:val="0"/>
                  <w:marBottom w:val="0"/>
                  <w:divBdr>
                    <w:top w:val="none" w:sz="0" w:space="0" w:color="auto"/>
                    <w:left w:val="none" w:sz="0" w:space="0" w:color="auto"/>
                    <w:bottom w:val="none" w:sz="0" w:space="0" w:color="auto"/>
                    <w:right w:val="none" w:sz="0" w:space="0" w:color="auto"/>
                  </w:divBdr>
                  <w:divsChild>
                    <w:div w:id="361324169">
                      <w:marLeft w:val="0"/>
                      <w:marRight w:val="0"/>
                      <w:marTop w:val="0"/>
                      <w:marBottom w:val="0"/>
                      <w:divBdr>
                        <w:top w:val="none" w:sz="0" w:space="0" w:color="auto"/>
                        <w:left w:val="none" w:sz="0" w:space="0" w:color="auto"/>
                        <w:bottom w:val="none" w:sz="0" w:space="0" w:color="auto"/>
                        <w:right w:val="none" w:sz="0" w:space="0" w:color="auto"/>
                      </w:divBdr>
                      <w:divsChild>
                        <w:div w:id="491411332">
                          <w:marLeft w:val="115"/>
                          <w:marRight w:val="115"/>
                          <w:marTop w:val="0"/>
                          <w:marBottom w:val="0"/>
                          <w:divBdr>
                            <w:top w:val="none" w:sz="0" w:space="0" w:color="auto"/>
                            <w:left w:val="none" w:sz="0" w:space="0" w:color="auto"/>
                            <w:bottom w:val="none" w:sz="0" w:space="0" w:color="auto"/>
                            <w:right w:val="none" w:sz="0" w:space="0" w:color="auto"/>
                          </w:divBdr>
                          <w:divsChild>
                            <w:div w:id="1435049937">
                              <w:marLeft w:val="0"/>
                              <w:marRight w:val="0"/>
                              <w:marTop w:val="0"/>
                              <w:marBottom w:val="276"/>
                              <w:divBdr>
                                <w:top w:val="none" w:sz="0" w:space="0" w:color="auto"/>
                                <w:left w:val="none" w:sz="0" w:space="0" w:color="auto"/>
                                <w:bottom w:val="dotted" w:sz="4" w:space="14" w:color="CCCCCC"/>
                                <w:right w:val="none" w:sz="0" w:space="0" w:color="auto"/>
                              </w:divBdr>
                              <w:divsChild>
                                <w:div w:id="1500079750">
                                  <w:marLeft w:val="0"/>
                                  <w:marRight w:val="0"/>
                                  <w:marTop w:val="0"/>
                                  <w:marBottom w:val="0"/>
                                  <w:divBdr>
                                    <w:top w:val="none" w:sz="0" w:space="0" w:color="auto"/>
                                    <w:left w:val="none" w:sz="0" w:space="0" w:color="auto"/>
                                    <w:bottom w:val="none" w:sz="0" w:space="0" w:color="auto"/>
                                    <w:right w:val="none" w:sz="0" w:space="0" w:color="auto"/>
                                  </w:divBdr>
                                  <w:divsChild>
                                    <w:div w:id="371272860">
                                      <w:marLeft w:val="0"/>
                                      <w:marRight w:val="0"/>
                                      <w:marTop w:val="0"/>
                                      <w:marBottom w:val="0"/>
                                      <w:divBdr>
                                        <w:top w:val="none" w:sz="0" w:space="0" w:color="auto"/>
                                        <w:left w:val="none" w:sz="0" w:space="0" w:color="auto"/>
                                        <w:bottom w:val="none" w:sz="0" w:space="0" w:color="auto"/>
                                        <w:right w:val="none" w:sz="0" w:space="0" w:color="auto"/>
                                      </w:divBdr>
                                    </w:div>
                                    <w:div w:id="124329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129269">
      <w:bodyDiv w:val="1"/>
      <w:marLeft w:val="0"/>
      <w:marRight w:val="0"/>
      <w:marTop w:val="0"/>
      <w:marBottom w:val="0"/>
      <w:divBdr>
        <w:top w:val="none" w:sz="0" w:space="0" w:color="auto"/>
        <w:left w:val="none" w:sz="0" w:space="0" w:color="auto"/>
        <w:bottom w:val="none" w:sz="0" w:space="0" w:color="auto"/>
        <w:right w:val="none" w:sz="0" w:space="0" w:color="auto"/>
      </w:divBdr>
      <w:divsChild>
        <w:div w:id="1418210154">
          <w:marLeft w:val="0"/>
          <w:marRight w:val="0"/>
          <w:marTop w:val="0"/>
          <w:marBottom w:val="0"/>
          <w:divBdr>
            <w:top w:val="none" w:sz="0" w:space="0" w:color="auto"/>
            <w:left w:val="none" w:sz="0" w:space="0" w:color="auto"/>
            <w:bottom w:val="none" w:sz="0" w:space="0" w:color="auto"/>
            <w:right w:val="none" w:sz="0" w:space="0" w:color="auto"/>
          </w:divBdr>
          <w:divsChild>
            <w:div w:id="202181915">
              <w:marLeft w:val="0"/>
              <w:marRight w:val="0"/>
              <w:marTop w:val="0"/>
              <w:marBottom w:val="0"/>
              <w:divBdr>
                <w:top w:val="none" w:sz="0" w:space="0" w:color="auto"/>
                <w:left w:val="none" w:sz="0" w:space="0" w:color="auto"/>
                <w:bottom w:val="none" w:sz="0" w:space="0" w:color="auto"/>
                <w:right w:val="none" w:sz="0" w:space="0" w:color="auto"/>
              </w:divBdr>
              <w:divsChild>
                <w:div w:id="1130902208">
                  <w:marLeft w:val="115"/>
                  <w:marRight w:val="115"/>
                  <w:marTop w:val="0"/>
                  <w:marBottom w:val="0"/>
                  <w:divBdr>
                    <w:top w:val="none" w:sz="0" w:space="0" w:color="auto"/>
                    <w:left w:val="none" w:sz="0" w:space="0" w:color="auto"/>
                    <w:bottom w:val="none" w:sz="0" w:space="0" w:color="auto"/>
                    <w:right w:val="none" w:sz="0" w:space="0" w:color="auto"/>
                  </w:divBdr>
                  <w:divsChild>
                    <w:div w:id="557672674">
                      <w:marLeft w:val="0"/>
                      <w:marRight w:val="0"/>
                      <w:marTop w:val="0"/>
                      <w:marBottom w:val="0"/>
                      <w:divBdr>
                        <w:top w:val="none" w:sz="0" w:space="0" w:color="auto"/>
                        <w:left w:val="none" w:sz="0" w:space="0" w:color="auto"/>
                        <w:bottom w:val="none" w:sz="0" w:space="0" w:color="auto"/>
                        <w:right w:val="none" w:sz="0" w:space="0" w:color="auto"/>
                      </w:divBdr>
                      <w:divsChild>
                        <w:div w:id="1536426592">
                          <w:marLeft w:val="115"/>
                          <w:marRight w:val="115"/>
                          <w:marTop w:val="0"/>
                          <w:marBottom w:val="0"/>
                          <w:divBdr>
                            <w:top w:val="none" w:sz="0" w:space="0" w:color="auto"/>
                            <w:left w:val="none" w:sz="0" w:space="0" w:color="auto"/>
                            <w:bottom w:val="none" w:sz="0" w:space="0" w:color="auto"/>
                            <w:right w:val="none" w:sz="0" w:space="0" w:color="auto"/>
                          </w:divBdr>
                          <w:divsChild>
                            <w:div w:id="161357745">
                              <w:marLeft w:val="0"/>
                              <w:marRight w:val="0"/>
                              <w:marTop w:val="0"/>
                              <w:marBottom w:val="276"/>
                              <w:divBdr>
                                <w:top w:val="none" w:sz="0" w:space="0" w:color="auto"/>
                                <w:left w:val="none" w:sz="0" w:space="0" w:color="auto"/>
                                <w:bottom w:val="dotted" w:sz="4" w:space="14" w:color="CCCCCC"/>
                                <w:right w:val="none" w:sz="0" w:space="0" w:color="auto"/>
                              </w:divBdr>
                              <w:divsChild>
                                <w:div w:id="1090154297">
                                  <w:marLeft w:val="0"/>
                                  <w:marRight w:val="0"/>
                                  <w:marTop w:val="0"/>
                                  <w:marBottom w:val="0"/>
                                  <w:divBdr>
                                    <w:top w:val="none" w:sz="0" w:space="0" w:color="auto"/>
                                    <w:left w:val="none" w:sz="0" w:space="0" w:color="auto"/>
                                    <w:bottom w:val="none" w:sz="0" w:space="0" w:color="auto"/>
                                    <w:right w:val="none" w:sz="0" w:space="0" w:color="auto"/>
                                  </w:divBdr>
                                  <w:divsChild>
                                    <w:div w:id="1929341075">
                                      <w:marLeft w:val="0"/>
                                      <w:marRight w:val="0"/>
                                      <w:marTop w:val="0"/>
                                      <w:marBottom w:val="0"/>
                                      <w:divBdr>
                                        <w:top w:val="none" w:sz="0" w:space="0" w:color="auto"/>
                                        <w:left w:val="none" w:sz="0" w:space="0" w:color="auto"/>
                                        <w:bottom w:val="none" w:sz="0" w:space="0" w:color="auto"/>
                                        <w:right w:val="none" w:sz="0" w:space="0" w:color="auto"/>
                                      </w:divBdr>
                                    </w:div>
                                    <w:div w:id="44231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341779">
      <w:bodyDiv w:val="1"/>
      <w:marLeft w:val="0"/>
      <w:marRight w:val="0"/>
      <w:marTop w:val="0"/>
      <w:marBottom w:val="0"/>
      <w:divBdr>
        <w:top w:val="none" w:sz="0" w:space="0" w:color="auto"/>
        <w:left w:val="none" w:sz="0" w:space="0" w:color="auto"/>
        <w:bottom w:val="none" w:sz="0" w:space="0" w:color="auto"/>
        <w:right w:val="none" w:sz="0" w:space="0" w:color="auto"/>
      </w:divBdr>
      <w:divsChild>
        <w:div w:id="2069566072">
          <w:marLeft w:val="0"/>
          <w:marRight w:val="0"/>
          <w:marTop w:val="0"/>
          <w:marBottom w:val="0"/>
          <w:divBdr>
            <w:top w:val="none" w:sz="0" w:space="0" w:color="auto"/>
            <w:left w:val="none" w:sz="0" w:space="0" w:color="auto"/>
            <w:bottom w:val="none" w:sz="0" w:space="0" w:color="auto"/>
            <w:right w:val="none" w:sz="0" w:space="0" w:color="auto"/>
          </w:divBdr>
          <w:divsChild>
            <w:div w:id="1049181785">
              <w:marLeft w:val="0"/>
              <w:marRight w:val="0"/>
              <w:marTop w:val="0"/>
              <w:marBottom w:val="0"/>
              <w:divBdr>
                <w:top w:val="none" w:sz="0" w:space="0" w:color="auto"/>
                <w:left w:val="none" w:sz="0" w:space="0" w:color="auto"/>
                <w:bottom w:val="none" w:sz="0" w:space="0" w:color="auto"/>
                <w:right w:val="none" w:sz="0" w:space="0" w:color="auto"/>
              </w:divBdr>
              <w:divsChild>
                <w:div w:id="1782647627">
                  <w:marLeft w:val="115"/>
                  <w:marRight w:val="115"/>
                  <w:marTop w:val="0"/>
                  <w:marBottom w:val="0"/>
                  <w:divBdr>
                    <w:top w:val="none" w:sz="0" w:space="0" w:color="auto"/>
                    <w:left w:val="none" w:sz="0" w:space="0" w:color="auto"/>
                    <w:bottom w:val="none" w:sz="0" w:space="0" w:color="auto"/>
                    <w:right w:val="none" w:sz="0" w:space="0" w:color="auto"/>
                  </w:divBdr>
                  <w:divsChild>
                    <w:div w:id="223876681">
                      <w:marLeft w:val="0"/>
                      <w:marRight w:val="0"/>
                      <w:marTop w:val="0"/>
                      <w:marBottom w:val="0"/>
                      <w:divBdr>
                        <w:top w:val="none" w:sz="0" w:space="0" w:color="auto"/>
                        <w:left w:val="none" w:sz="0" w:space="0" w:color="auto"/>
                        <w:bottom w:val="none" w:sz="0" w:space="0" w:color="auto"/>
                        <w:right w:val="none" w:sz="0" w:space="0" w:color="auto"/>
                      </w:divBdr>
                      <w:divsChild>
                        <w:div w:id="855776211">
                          <w:marLeft w:val="115"/>
                          <w:marRight w:val="115"/>
                          <w:marTop w:val="0"/>
                          <w:marBottom w:val="0"/>
                          <w:divBdr>
                            <w:top w:val="none" w:sz="0" w:space="0" w:color="auto"/>
                            <w:left w:val="none" w:sz="0" w:space="0" w:color="auto"/>
                            <w:bottom w:val="none" w:sz="0" w:space="0" w:color="auto"/>
                            <w:right w:val="none" w:sz="0" w:space="0" w:color="auto"/>
                          </w:divBdr>
                          <w:divsChild>
                            <w:div w:id="1032653249">
                              <w:marLeft w:val="0"/>
                              <w:marRight w:val="0"/>
                              <w:marTop w:val="0"/>
                              <w:marBottom w:val="276"/>
                              <w:divBdr>
                                <w:top w:val="none" w:sz="0" w:space="0" w:color="auto"/>
                                <w:left w:val="none" w:sz="0" w:space="0" w:color="auto"/>
                                <w:bottom w:val="dotted" w:sz="4" w:space="14" w:color="CCCCCC"/>
                                <w:right w:val="none" w:sz="0" w:space="0" w:color="auto"/>
                              </w:divBdr>
                              <w:divsChild>
                                <w:div w:id="1034424870">
                                  <w:marLeft w:val="0"/>
                                  <w:marRight w:val="0"/>
                                  <w:marTop w:val="0"/>
                                  <w:marBottom w:val="0"/>
                                  <w:divBdr>
                                    <w:top w:val="none" w:sz="0" w:space="0" w:color="auto"/>
                                    <w:left w:val="none" w:sz="0" w:space="0" w:color="auto"/>
                                    <w:bottom w:val="none" w:sz="0" w:space="0" w:color="auto"/>
                                    <w:right w:val="none" w:sz="0" w:space="0" w:color="auto"/>
                                  </w:divBdr>
                                  <w:divsChild>
                                    <w:div w:id="432674837">
                                      <w:marLeft w:val="0"/>
                                      <w:marRight w:val="0"/>
                                      <w:marTop w:val="0"/>
                                      <w:marBottom w:val="0"/>
                                      <w:divBdr>
                                        <w:top w:val="none" w:sz="0" w:space="0" w:color="auto"/>
                                        <w:left w:val="none" w:sz="0" w:space="0" w:color="auto"/>
                                        <w:bottom w:val="none" w:sz="0" w:space="0" w:color="auto"/>
                                        <w:right w:val="none" w:sz="0" w:space="0" w:color="auto"/>
                                      </w:divBdr>
                                    </w:div>
                                    <w:div w:id="31892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762105">
      <w:bodyDiv w:val="1"/>
      <w:marLeft w:val="0"/>
      <w:marRight w:val="0"/>
      <w:marTop w:val="0"/>
      <w:marBottom w:val="0"/>
      <w:divBdr>
        <w:top w:val="none" w:sz="0" w:space="0" w:color="auto"/>
        <w:left w:val="none" w:sz="0" w:space="0" w:color="auto"/>
        <w:bottom w:val="none" w:sz="0" w:space="0" w:color="auto"/>
        <w:right w:val="none" w:sz="0" w:space="0" w:color="auto"/>
      </w:divBdr>
      <w:divsChild>
        <w:div w:id="22177660">
          <w:marLeft w:val="0"/>
          <w:marRight w:val="0"/>
          <w:marTop w:val="0"/>
          <w:marBottom w:val="0"/>
          <w:divBdr>
            <w:top w:val="none" w:sz="0" w:space="0" w:color="auto"/>
            <w:left w:val="none" w:sz="0" w:space="0" w:color="auto"/>
            <w:bottom w:val="none" w:sz="0" w:space="0" w:color="auto"/>
            <w:right w:val="none" w:sz="0" w:space="0" w:color="auto"/>
          </w:divBdr>
          <w:divsChild>
            <w:div w:id="857790">
              <w:marLeft w:val="0"/>
              <w:marRight w:val="0"/>
              <w:marTop w:val="0"/>
              <w:marBottom w:val="0"/>
              <w:divBdr>
                <w:top w:val="none" w:sz="0" w:space="0" w:color="auto"/>
                <w:left w:val="none" w:sz="0" w:space="0" w:color="auto"/>
                <w:bottom w:val="none" w:sz="0" w:space="0" w:color="auto"/>
                <w:right w:val="none" w:sz="0" w:space="0" w:color="auto"/>
              </w:divBdr>
              <w:divsChild>
                <w:div w:id="1949924117">
                  <w:marLeft w:val="115"/>
                  <w:marRight w:val="115"/>
                  <w:marTop w:val="0"/>
                  <w:marBottom w:val="0"/>
                  <w:divBdr>
                    <w:top w:val="none" w:sz="0" w:space="0" w:color="auto"/>
                    <w:left w:val="none" w:sz="0" w:space="0" w:color="auto"/>
                    <w:bottom w:val="none" w:sz="0" w:space="0" w:color="auto"/>
                    <w:right w:val="none" w:sz="0" w:space="0" w:color="auto"/>
                  </w:divBdr>
                  <w:divsChild>
                    <w:div w:id="900678237">
                      <w:marLeft w:val="0"/>
                      <w:marRight w:val="0"/>
                      <w:marTop w:val="0"/>
                      <w:marBottom w:val="0"/>
                      <w:divBdr>
                        <w:top w:val="none" w:sz="0" w:space="0" w:color="auto"/>
                        <w:left w:val="none" w:sz="0" w:space="0" w:color="auto"/>
                        <w:bottom w:val="none" w:sz="0" w:space="0" w:color="auto"/>
                        <w:right w:val="none" w:sz="0" w:space="0" w:color="auto"/>
                      </w:divBdr>
                      <w:divsChild>
                        <w:div w:id="1335839734">
                          <w:marLeft w:val="115"/>
                          <w:marRight w:val="115"/>
                          <w:marTop w:val="0"/>
                          <w:marBottom w:val="0"/>
                          <w:divBdr>
                            <w:top w:val="none" w:sz="0" w:space="0" w:color="auto"/>
                            <w:left w:val="none" w:sz="0" w:space="0" w:color="auto"/>
                            <w:bottom w:val="none" w:sz="0" w:space="0" w:color="auto"/>
                            <w:right w:val="none" w:sz="0" w:space="0" w:color="auto"/>
                          </w:divBdr>
                          <w:divsChild>
                            <w:div w:id="829751842">
                              <w:marLeft w:val="0"/>
                              <w:marRight w:val="0"/>
                              <w:marTop w:val="0"/>
                              <w:marBottom w:val="276"/>
                              <w:divBdr>
                                <w:top w:val="none" w:sz="0" w:space="0" w:color="auto"/>
                                <w:left w:val="none" w:sz="0" w:space="0" w:color="auto"/>
                                <w:bottom w:val="dotted" w:sz="4" w:space="14" w:color="CCCCCC"/>
                                <w:right w:val="none" w:sz="0" w:space="0" w:color="auto"/>
                              </w:divBdr>
                              <w:divsChild>
                                <w:div w:id="76376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001417">
      <w:bodyDiv w:val="1"/>
      <w:marLeft w:val="0"/>
      <w:marRight w:val="0"/>
      <w:marTop w:val="0"/>
      <w:marBottom w:val="0"/>
      <w:divBdr>
        <w:top w:val="none" w:sz="0" w:space="0" w:color="auto"/>
        <w:left w:val="none" w:sz="0" w:space="0" w:color="auto"/>
        <w:bottom w:val="none" w:sz="0" w:space="0" w:color="auto"/>
        <w:right w:val="none" w:sz="0" w:space="0" w:color="auto"/>
      </w:divBdr>
      <w:divsChild>
        <w:div w:id="1867988373">
          <w:marLeft w:val="0"/>
          <w:marRight w:val="0"/>
          <w:marTop w:val="0"/>
          <w:marBottom w:val="0"/>
          <w:divBdr>
            <w:top w:val="none" w:sz="0" w:space="0" w:color="auto"/>
            <w:left w:val="none" w:sz="0" w:space="0" w:color="auto"/>
            <w:bottom w:val="none" w:sz="0" w:space="0" w:color="auto"/>
            <w:right w:val="none" w:sz="0" w:space="0" w:color="auto"/>
          </w:divBdr>
          <w:divsChild>
            <w:div w:id="1733382836">
              <w:marLeft w:val="0"/>
              <w:marRight w:val="0"/>
              <w:marTop w:val="0"/>
              <w:marBottom w:val="0"/>
              <w:divBdr>
                <w:top w:val="none" w:sz="0" w:space="0" w:color="auto"/>
                <w:left w:val="none" w:sz="0" w:space="0" w:color="auto"/>
                <w:bottom w:val="none" w:sz="0" w:space="0" w:color="auto"/>
                <w:right w:val="none" w:sz="0" w:space="0" w:color="auto"/>
              </w:divBdr>
              <w:divsChild>
                <w:div w:id="2069761605">
                  <w:marLeft w:val="115"/>
                  <w:marRight w:val="115"/>
                  <w:marTop w:val="0"/>
                  <w:marBottom w:val="0"/>
                  <w:divBdr>
                    <w:top w:val="none" w:sz="0" w:space="0" w:color="auto"/>
                    <w:left w:val="none" w:sz="0" w:space="0" w:color="auto"/>
                    <w:bottom w:val="none" w:sz="0" w:space="0" w:color="auto"/>
                    <w:right w:val="none" w:sz="0" w:space="0" w:color="auto"/>
                  </w:divBdr>
                  <w:divsChild>
                    <w:div w:id="2088191788">
                      <w:marLeft w:val="0"/>
                      <w:marRight w:val="0"/>
                      <w:marTop w:val="0"/>
                      <w:marBottom w:val="0"/>
                      <w:divBdr>
                        <w:top w:val="none" w:sz="0" w:space="0" w:color="auto"/>
                        <w:left w:val="none" w:sz="0" w:space="0" w:color="auto"/>
                        <w:bottom w:val="none" w:sz="0" w:space="0" w:color="auto"/>
                        <w:right w:val="none" w:sz="0" w:space="0" w:color="auto"/>
                      </w:divBdr>
                      <w:divsChild>
                        <w:div w:id="1631279917">
                          <w:marLeft w:val="115"/>
                          <w:marRight w:val="115"/>
                          <w:marTop w:val="0"/>
                          <w:marBottom w:val="0"/>
                          <w:divBdr>
                            <w:top w:val="none" w:sz="0" w:space="0" w:color="auto"/>
                            <w:left w:val="none" w:sz="0" w:space="0" w:color="auto"/>
                            <w:bottom w:val="none" w:sz="0" w:space="0" w:color="auto"/>
                            <w:right w:val="none" w:sz="0" w:space="0" w:color="auto"/>
                          </w:divBdr>
                          <w:divsChild>
                            <w:div w:id="716009139">
                              <w:marLeft w:val="0"/>
                              <w:marRight w:val="0"/>
                              <w:marTop w:val="0"/>
                              <w:marBottom w:val="276"/>
                              <w:divBdr>
                                <w:top w:val="none" w:sz="0" w:space="0" w:color="auto"/>
                                <w:left w:val="none" w:sz="0" w:space="0" w:color="auto"/>
                                <w:bottom w:val="dotted" w:sz="4" w:space="14" w:color="CCCCCC"/>
                                <w:right w:val="none" w:sz="0" w:space="0" w:color="auto"/>
                              </w:divBdr>
                              <w:divsChild>
                                <w:div w:id="18121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091723">
      <w:bodyDiv w:val="1"/>
      <w:marLeft w:val="0"/>
      <w:marRight w:val="0"/>
      <w:marTop w:val="0"/>
      <w:marBottom w:val="0"/>
      <w:divBdr>
        <w:top w:val="none" w:sz="0" w:space="0" w:color="auto"/>
        <w:left w:val="none" w:sz="0" w:space="0" w:color="auto"/>
        <w:bottom w:val="none" w:sz="0" w:space="0" w:color="auto"/>
        <w:right w:val="none" w:sz="0" w:space="0" w:color="auto"/>
      </w:divBdr>
      <w:divsChild>
        <w:div w:id="1784642923">
          <w:marLeft w:val="0"/>
          <w:marRight w:val="0"/>
          <w:marTop w:val="0"/>
          <w:marBottom w:val="0"/>
          <w:divBdr>
            <w:top w:val="none" w:sz="0" w:space="0" w:color="auto"/>
            <w:left w:val="none" w:sz="0" w:space="0" w:color="auto"/>
            <w:bottom w:val="none" w:sz="0" w:space="0" w:color="auto"/>
            <w:right w:val="none" w:sz="0" w:space="0" w:color="auto"/>
          </w:divBdr>
          <w:divsChild>
            <w:div w:id="517697657">
              <w:marLeft w:val="0"/>
              <w:marRight w:val="0"/>
              <w:marTop w:val="0"/>
              <w:marBottom w:val="0"/>
              <w:divBdr>
                <w:top w:val="none" w:sz="0" w:space="0" w:color="auto"/>
                <w:left w:val="none" w:sz="0" w:space="0" w:color="auto"/>
                <w:bottom w:val="none" w:sz="0" w:space="0" w:color="auto"/>
                <w:right w:val="none" w:sz="0" w:space="0" w:color="auto"/>
              </w:divBdr>
              <w:divsChild>
                <w:div w:id="747113590">
                  <w:marLeft w:val="115"/>
                  <w:marRight w:val="115"/>
                  <w:marTop w:val="0"/>
                  <w:marBottom w:val="0"/>
                  <w:divBdr>
                    <w:top w:val="none" w:sz="0" w:space="0" w:color="auto"/>
                    <w:left w:val="none" w:sz="0" w:space="0" w:color="auto"/>
                    <w:bottom w:val="none" w:sz="0" w:space="0" w:color="auto"/>
                    <w:right w:val="none" w:sz="0" w:space="0" w:color="auto"/>
                  </w:divBdr>
                  <w:divsChild>
                    <w:div w:id="1285816474">
                      <w:marLeft w:val="0"/>
                      <w:marRight w:val="0"/>
                      <w:marTop w:val="0"/>
                      <w:marBottom w:val="0"/>
                      <w:divBdr>
                        <w:top w:val="none" w:sz="0" w:space="0" w:color="auto"/>
                        <w:left w:val="none" w:sz="0" w:space="0" w:color="auto"/>
                        <w:bottom w:val="none" w:sz="0" w:space="0" w:color="auto"/>
                        <w:right w:val="none" w:sz="0" w:space="0" w:color="auto"/>
                      </w:divBdr>
                      <w:divsChild>
                        <w:div w:id="1736321813">
                          <w:marLeft w:val="115"/>
                          <w:marRight w:val="115"/>
                          <w:marTop w:val="0"/>
                          <w:marBottom w:val="0"/>
                          <w:divBdr>
                            <w:top w:val="none" w:sz="0" w:space="0" w:color="auto"/>
                            <w:left w:val="none" w:sz="0" w:space="0" w:color="auto"/>
                            <w:bottom w:val="none" w:sz="0" w:space="0" w:color="auto"/>
                            <w:right w:val="none" w:sz="0" w:space="0" w:color="auto"/>
                          </w:divBdr>
                          <w:divsChild>
                            <w:div w:id="1298605949">
                              <w:marLeft w:val="0"/>
                              <w:marRight w:val="0"/>
                              <w:marTop w:val="0"/>
                              <w:marBottom w:val="276"/>
                              <w:divBdr>
                                <w:top w:val="none" w:sz="0" w:space="0" w:color="auto"/>
                                <w:left w:val="none" w:sz="0" w:space="0" w:color="auto"/>
                                <w:bottom w:val="dotted" w:sz="4" w:space="14" w:color="CCCCCC"/>
                                <w:right w:val="none" w:sz="0" w:space="0" w:color="auto"/>
                              </w:divBdr>
                              <w:divsChild>
                                <w:div w:id="1146168421">
                                  <w:marLeft w:val="0"/>
                                  <w:marRight w:val="0"/>
                                  <w:marTop w:val="0"/>
                                  <w:marBottom w:val="0"/>
                                  <w:divBdr>
                                    <w:top w:val="none" w:sz="0" w:space="0" w:color="auto"/>
                                    <w:left w:val="none" w:sz="0" w:space="0" w:color="auto"/>
                                    <w:bottom w:val="none" w:sz="0" w:space="0" w:color="auto"/>
                                    <w:right w:val="none" w:sz="0" w:space="0" w:color="auto"/>
                                  </w:divBdr>
                                  <w:divsChild>
                                    <w:div w:id="115687544">
                                      <w:marLeft w:val="0"/>
                                      <w:marRight w:val="0"/>
                                      <w:marTop w:val="0"/>
                                      <w:marBottom w:val="0"/>
                                      <w:divBdr>
                                        <w:top w:val="none" w:sz="0" w:space="0" w:color="auto"/>
                                        <w:left w:val="none" w:sz="0" w:space="0" w:color="auto"/>
                                        <w:bottom w:val="none" w:sz="0" w:space="0" w:color="auto"/>
                                        <w:right w:val="none" w:sz="0" w:space="0" w:color="auto"/>
                                      </w:divBdr>
                                    </w:div>
                                    <w:div w:id="182631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1826374">
      <w:bodyDiv w:val="1"/>
      <w:marLeft w:val="0"/>
      <w:marRight w:val="0"/>
      <w:marTop w:val="0"/>
      <w:marBottom w:val="0"/>
      <w:divBdr>
        <w:top w:val="none" w:sz="0" w:space="0" w:color="auto"/>
        <w:left w:val="none" w:sz="0" w:space="0" w:color="auto"/>
        <w:bottom w:val="none" w:sz="0" w:space="0" w:color="auto"/>
        <w:right w:val="none" w:sz="0" w:space="0" w:color="auto"/>
      </w:divBdr>
      <w:divsChild>
        <w:div w:id="24330422">
          <w:marLeft w:val="0"/>
          <w:marRight w:val="0"/>
          <w:marTop w:val="0"/>
          <w:marBottom w:val="0"/>
          <w:divBdr>
            <w:top w:val="none" w:sz="0" w:space="0" w:color="auto"/>
            <w:left w:val="none" w:sz="0" w:space="0" w:color="auto"/>
            <w:bottom w:val="none" w:sz="0" w:space="0" w:color="auto"/>
            <w:right w:val="none" w:sz="0" w:space="0" w:color="auto"/>
          </w:divBdr>
          <w:divsChild>
            <w:div w:id="1683433391">
              <w:marLeft w:val="0"/>
              <w:marRight w:val="0"/>
              <w:marTop w:val="0"/>
              <w:marBottom w:val="0"/>
              <w:divBdr>
                <w:top w:val="none" w:sz="0" w:space="0" w:color="auto"/>
                <w:left w:val="none" w:sz="0" w:space="0" w:color="auto"/>
                <w:bottom w:val="none" w:sz="0" w:space="0" w:color="auto"/>
                <w:right w:val="none" w:sz="0" w:space="0" w:color="auto"/>
              </w:divBdr>
              <w:divsChild>
                <w:div w:id="18095198">
                  <w:marLeft w:val="115"/>
                  <w:marRight w:val="115"/>
                  <w:marTop w:val="0"/>
                  <w:marBottom w:val="0"/>
                  <w:divBdr>
                    <w:top w:val="none" w:sz="0" w:space="0" w:color="auto"/>
                    <w:left w:val="none" w:sz="0" w:space="0" w:color="auto"/>
                    <w:bottom w:val="none" w:sz="0" w:space="0" w:color="auto"/>
                    <w:right w:val="none" w:sz="0" w:space="0" w:color="auto"/>
                  </w:divBdr>
                  <w:divsChild>
                    <w:div w:id="406002730">
                      <w:marLeft w:val="0"/>
                      <w:marRight w:val="0"/>
                      <w:marTop w:val="0"/>
                      <w:marBottom w:val="0"/>
                      <w:divBdr>
                        <w:top w:val="none" w:sz="0" w:space="0" w:color="auto"/>
                        <w:left w:val="none" w:sz="0" w:space="0" w:color="auto"/>
                        <w:bottom w:val="none" w:sz="0" w:space="0" w:color="auto"/>
                        <w:right w:val="none" w:sz="0" w:space="0" w:color="auto"/>
                      </w:divBdr>
                      <w:divsChild>
                        <w:div w:id="1104227305">
                          <w:marLeft w:val="115"/>
                          <w:marRight w:val="115"/>
                          <w:marTop w:val="0"/>
                          <w:marBottom w:val="0"/>
                          <w:divBdr>
                            <w:top w:val="none" w:sz="0" w:space="0" w:color="auto"/>
                            <w:left w:val="none" w:sz="0" w:space="0" w:color="auto"/>
                            <w:bottom w:val="none" w:sz="0" w:space="0" w:color="auto"/>
                            <w:right w:val="none" w:sz="0" w:space="0" w:color="auto"/>
                          </w:divBdr>
                          <w:divsChild>
                            <w:div w:id="390885442">
                              <w:marLeft w:val="0"/>
                              <w:marRight w:val="0"/>
                              <w:marTop w:val="0"/>
                              <w:marBottom w:val="276"/>
                              <w:divBdr>
                                <w:top w:val="none" w:sz="0" w:space="0" w:color="auto"/>
                                <w:left w:val="none" w:sz="0" w:space="0" w:color="auto"/>
                                <w:bottom w:val="dotted" w:sz="4" w:space="14" w:color="CCCCCC"/>
                                <w:right w:val="none" w:sz="0" w:space="0" w:color="auto"/>
                              </w:divBdr>
                              <w:divsChild>
                                <w:div w:id="1383021756">
                                  <w:marLeft w:val="0"/>
                                  <w:marRight w:val="0"/>
                                  <w:marTop w:val="0"/>
                                  <w:marBottom w:val="0"/>
                                  <w:divBdr>
                                    <w:top w:val="none" w:sz="0" w:space="0" w:color="auto"/>
                                    <w:left w:val="none" w:sz="0" w:space="0" w:color="auto"/>
                                    <w:bottom w:val="none" w:sz="0" w:space="0" w:color="auto"/>
                                    <w:right w:val="none" w:sz="0" w:space="0" w:color="auto"/>
                                  </w:divBdr>
                                  <w:divsChild>
                                    <w:div w:id="358438115">
                                      <w:marLeft w:val="0"/>
                                      <w:marRight w:val="0"/>
                                      <w:marTop w:val="0"/>
                                      <w:marBottom w:val="0"/>
                                      <w:divBdr>
                                        <w:top w:val="none" w:sz="0" w:space="0" w:color="auto"/>
                                        <w:left w:val="none" w:sz="0" w:space="0" w:color="auto"/>
                                        <w:bottom w:val="none" w:sz="0" w:space="0" w:color="auto"/>
                                        <w:right w:val="none" w:sz="0" w:space="0" w:color="auto"/>
                                      </w:divBdr>
                                    </w:div>
                                    <w:div w:id="124795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8156841">
      <w:bodyDiv w:val="1"/>
      <w:marLeft w:val="0"/>
      <w:marRight w:val="0"/>
      <w:marTop w:val="0"/>
      <w:marBottom w:val="0"/>
      <w:divBdr>
        <w:top w:val="none" w:sz="0" w:space="0" w:color="auto"/>
        <w:left w:val="none" w:sz="0" w:space="0" w:color="auto"/>
        <w:bottom w:val="none" w:sz="0" w:space="0" w:color="auto"/>
        <w:right w:val="none" w:sz="0" w:space="0" w:color="auto"/>
      </w:divBdr>
      <w:divsChild>
        <w:div w:id="851722836">
          <w:marLeft w:val="0"/>
          <w:marRight w:val="0"/>
          <w:marTop w:val="0"/>
          <w:marBottom w:val="0"/>
          <w:divBdr>
            <w:top w:val="none" w:sz="0" w:space="0" w:color="auto"/>
            <w:left w:val="none" w:sz="0" w:space="0" w:color="auto"/>
            <w:bottom w:val="none" w:sz="0" w:space="0" w:color="auto"/>
            <w:right w:val="none" w:sz="0" w:space="0" w:color="auto"/>
          </w:divBdr>
          <w:divsChild>
            <w:div w:id="1103234013">
              <w:marLeft w:val="0"/>
              <w:marRight w:val="0"/>
              <w:marTop w:val="0"/>
              <w:marBottom w:val="0"/>
              <w:divBdr>
                <w:top w:val="none" w:sz="0" w:space="0" w:color="auto"/>
                <w:left w:val="none" w:sz="0" w:space="0" w:color="auto"/>
                <w:bottom w:val="none" w:sz="0" w:space="0" w:color="auto"/>
                <w:right w:val="none" w:sz="0" w:space="0" w:color="auto"/>
              </w:divBdr>
              <w:divsChild>
                <w:div w:id="213809969">
                  <w:marLeft w:val="115"/>
                  <w:marRight w:val="115"/>
                  <w:marTop w:val="0"/>
                  <w:marBottom w:val="0"/>
                  <w:divBdr>
                    <w:top w:val="none" w:sz="0" w:space="0" w:color="auto"/>
                    <w:left w:val="none" w:sz="0" w:space="0" w:color="auto"/>
                    <w:bottom w:val="none" w:sz="0" w:space="0" w:color="auto"/>
                    <w:right w:val="none" w:sz="0" w:space="0" w:color="auto"/>
                  </w:divBdr>
                  <w:divsChild>
                    <w:div w:id="802112884">
                      <w:marLeft w:val="0"/>
                      <w:marRight w:val="0"/>
                      <w:marTop w:val="0"/>
                      <w:marBottom w:val="0"/>
                      <w:divBdr>
                        <w:top w:val="none" w:sz="0" w:space="0" w:color="auto"/>
                        <w:left w:val="none" w:sz="0" w:space="0" w:color="auto"/>
                        <w:bottom w:val="none" w:sz="0" w:space="0" w:color="auto"/>
                        <w:right w:val="none" w:sz="0" w:space="0" w:color="auto"/>
                      </w:divBdr>
                      <w:divsChild>
                        <w:div w:id="558782575">
                          <w:marLeft w:val="115"/>
                          <w:marRight w:val="115"/>
                          <w:marTop w:val="0"/>
                          <w:marBottom w:val="0"/>
                          <w:divBdr>
                            <w:top w:val="none" w:sz="0" w:space="0" w:color="auto"/>
                            <w:left w:val="none" w:sz="0" w:space="0" w:color="auto"/>
                            <w:bottom w:val="none" w:sz="0" w:space="0" w:color="auto"/>
                            <w:right w:val="none" w:sz="0" w:space="0" w:color="auto"/>
                          </w:divBdr>
                          <w:divsChild>
                            <w:div w:id="1252619083">
                              <w:marLeft w:val="0"/>
                              <w:marRight w:val="0"/>
                              <w:marTop w:val="0"/>
                              <w:marBottom w:val="276"/>
                              <w:divBdr>
                                <w:top w:val="none" w:sz="0" w:space="0" w:color="auto"/>
                                <w:left w:val="none" w:sz="0" w:space="0" w:color="auto"/>
                                <w:bottom w:val="dotted" w:sz="4" w:space="14" w:color="CCCCCC"/>
                                <w:right w:val="none" w:sz="0" w:space="0" w:color="auto"/>
                              </w:divBdr>
                              <w:divsChild>
                                <w:div w:id="285044786">
                                  <w:marLeft w:val="0"/>
                                  <w:marRight w:val="0"/>
                                  <w:marTop w:val="0"/>
                                  <w:marBottom w:val="0"/>
                                  <w:divBdr>
                                    <w:top w:val="none" w:sz="0" w:space="0" w:color="auto"/>
                                    <w:left w:val="none" w:sz="0" w:space="0" w:color="auto"/>
                                    <w:bottom w:val="none" w:sz="0" w:space="0" w:color="auto"/>
                                    <w:right w:val="none" w:sz="0" w:space="0" w:color="auto"/>
                                  </w:divBdr>
                                  <w:divsChild>
                                    <w:div w:id="219633341">
                                      <w:marLeft w:val="0"/>
                                      <w:marRight w:val="0"/>
                                      <w:marTop w:val="0"/>
                                      <w:marBottom w:val="0"/>
                                      <w:divBdr>
                                        <w:top w:val="none" w:sz="0" w:space="0" w:color="auto"/>
                                        <w:left w:val="none" w:sz="0" w:space="0" w:color="auto"/>
                                        <w:bottom w:val="none" w:sz="0" w:space="0" w:color="auto"/>
                                        <w:right w:val="none" w:sz="0" w:space="0" w:color="auto"/>
                                      </w:divBdr>
                                    </w:div>
                                    <w:div w:id="106171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98379">
      <w:bodyDiv w:val="1"/>
      <w:marLeft w:val="0"/>
      <w:marRight w:val="0"/>
      <w:marTop w:val="0"/>
      <w:marBottom w:val="0"/>
      <w:divBdr>
        <w:top w:val="none" w:sz="0" w:space="0" w:color="auto"/>
        <w:left w:val="none" w:sz="0" w:space="0" w:color="auto"/>
        <w:bottom w:val="none" w:sz="0" w:space="0" w:color="auto"/>
        <w:right w:val="none" w:sz="0" w:space="0" w:color="auto"/>
      </w:divBdr>
      <w:divsChild>
        <w:div w:id="1043363706">
          <w:marLeft w:val="0"/>
          <w:marRight w:val="0"/>
          <w:marTop w:val="0"/>
          <w:marBottom w:val="0"/>
          <w:divBdr>
            <w:top w:val="none" w:sz="0" w:space="0" w:color="auto"/>
            <w:left w:val="none" w:sz="0" w:space="0" w:color="auto"/>
            <w:bottom w:val="none" w:sz="0" w:space="0" w:color="auto"/>
            <w:right w:val="none" w:sz="0" w:space="0" w:color="auto"/>
          </w:divBdr>
          <w:divsChild>
            <w:div w:id="1479495597">
              <w:marLeft w:val="0"/>
              <w:marRight w:val="0"/>
              <w:marTop w:val="0"/>
              <w:marBottom w:val="0"/>
              <w:divBdr>
                <w:top w:val="none" w:sz="0" w:space="0" w:color="auto"/>
                <w:left w:val="none" w:sz="0" w:space="0" w:color="auto"/>
                <w:bottom w:val="none" w:sz="0" w:space="0" w:color="auto"/>
                <w:right w:val="none" w:sz="0" w:space="0" w:color="auto"/>
              </w:divBdr>
              <w:divsChild>
                <w:div w:id="218247037">
                  <w:marLeft w:val="115"/>
                  <w:marRight w:val="115"/>
                  <w:marTop w:val="0"/>
                  <w:marBottom w:val="0"/>
                  <w:divBdr>
                    <w:top w:val="none" w:sz="0" w:space="0" w:color="auto"/>
                    <w:left w:val="none" w:sz="0" w:space="0" w:color="auto"/>
                    <w:bottom w:val="none" w:sz="0" w:space="0" w:color="auto"/>
                    <w:right w:val="none" w:sz="0" w:space="0" w:color="auto"/>
                  </w:divBdr>
                  <w:divsChild>
                    <w:div w:id="1136683873">
                      <w:marLeft w:val="0"/>
                      <w:marRight w:val="0"/>
                      <w:marTop w:val="0"/>
                      <w:marBottom w:val="0"/>
                      <w:divBdr>
                        <w:top w:val="none" w:sz="0" w:space="0" w:color="auto"/>
                        <w:left w:val="none" w:sz="0" w:space="0" w:color="auto"/>
                        <w:bottom w:val="none" w:sz="0" w:space="0" w:color="auto"/>
                        <w:right w:val="none" w:sz="0" w:space="0" w:color="auto"/>
                      </w:divBdr>
                      <w:divsChild>
                        <w:div w:id="1859808102">
                          <w:marLeft w:val="115"/>
                          <w:marRight w:val="115"/>
                          <w:marTop w:val="0"/>
                          <w:marBottom w:val="0"/>
                          <w:divBdr>
                            <w:top w:val="none" w:sz="0" w:space="0" w:color="auto"/>
                            <w:left w:val="none" w:sz="0" w:space="0" w:color="auto"/>
                            <w:bottom w:val="none" w:sz="0" w:space="0" w:color="auto"/>
                            <w:right w:val="none" w:sz="0" w:space="0" w:color="auto"/>
                          </w:divBdr>
                          <w:divsChild>
                            <w:div w:id="1147473600">
                              <w:marLeft w:val="0"/>
                              <w:marRight w:val="0"/>
                              <w:marTop w:val="0"/>
                              <w:marBottom w:val="276"/>
                              <w:divBdr>
                                <w:top w:val="none" w:sz="0" w:space="0" w:color="auto"/>
                                <w:left w:val="none" w:sz="0" w:space="0" w:color="auto"/>
                                <w:bottom w:val="dotted" w:sz="4" w:space="14" w:color="CCCCCC"/>
                                <w:right w:val="none" w:sz="0" w:space="0" w:color="auto"/>
                              </w:divBdr>
                              <w:divsChild>
                                <w:div w:id="950892330">
                                  <w:marLeft w:val="0"/>
                                  <w:marRight w:val="0"/>
                                  <w:marTop w:val="0"/>
                                  <w:marBottom w:val="0"/>
                                  <w:divBdr>
                                    <w:top w:val="none" w:sz="0" w:space="0" w:color="auto"/>
                                    <w:left w:val="none" w:sz="0" w:space="0" w:color="auto"/>
                                    <w:bottom w:val="none" w:sz="0" w:space="0" w:color="auto"/>
                                    <w:right w:val="none" w:sz="0" w:space="0" w:color="auto"/>
                                  </w:divBdr>
                                  <w:divsChild>
                                    <w:div w:id="1674383036">
                                      <w:marLeft w:val="0"/>
                                      <w:marRight w:val="0"/>
                                      <w:marTop w:val="0"/>
                                      <w:marBottom w:val="0"/>
                                      <w:divBdr>
                                        <w:top w:val="none" w:sz="0" w:space="0" w:color="auto"/>
                                        <w:left w:val="none" w:sz="0" w:space="0" w:color="auto"/>
                                        <w:bottom w:val="none" w:sz="0" w:space="0" w:color="auto"/>
                                        <w:right w:val="none" w:sz="0" w:space="0" w:color="auto"/>
                                      </w:divBdr>
                                    </w:div>
                                    <w:div w:id="65130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0558466">
      <w:bodyDiv w:val="1"/>
      <w:marLeft w:val="0"/>
      <w:marRight w:val="0"/>
      <w:marTop w:val="0"/>
      <w:marBottom w:val="0"/>
      <w:divBdr>
        <w:top w:val="none" w:sz="0" w:space="0" w:color="auto"/>
        <w:left w:val="none" w:sz="0" w:space="0" w:color="auto"/>
        <w:bottom w:val="none" w:sz="0" w:space="0" w:color="auto"/>
        <w:right w:val="none" w:sz="0" w:space="0" w:color="auto"/>
      </w:divBdr>
      <w:divsChild>
        <w:div w:id="854078845">
          <w:marLeft w:val="0"/>
          <w:marRight w:val="0"/>
          <w:marTop w:val="0"/>
          <w:marBottom w:val="0"/>
          <w:divBdr>
            <w:top w:val="none" w:sz="0" w:space="0" w:color="auto"/>
            <w:left w:val="none" w:sz="0" w:space="0" w:color="auto"/>
            <w:bottom w:val="none" w:sz="0" w:space="0" w:color="auto"/>
            <w:right w:val="none" w:sz="0" w:space="0" w:color="auto"/>
          </w:divBdr>
          <w:divsChild>
            <w:div w:id="121467406">
              <w:marLeft w:val="0"/>
              <w:marRight w:val="0"/>
              <w:marTop w:val="0"/>
              <w:marBottom w:val="0"/>
              <w:divBdr>
                <w:top w:val="none" w:sz="0" w:space="0" w:color="auto"/>
                <w:left w:val="none" w:sz="0" w:space="0" w:color="auto"/>
                <w:bottom w:val="none" w:sz="0" w:space="0" w:color="auto"/>
                <w:right w:val="none" w:sz="0" w:space="0" w:color="auto"/>
              </w:divBdr>
              <w:divsChild>
                <w:div w:id="2140996578">
                  <w:marLeft w:val="115"/>
                  <w:marRight w:val="115"/>
                  <w:marTop w:val="0"/>
                  <w:marBottom w:val="0"/>
                  <w:divBdr>
                    <w:top w:val="none" w:sz="0" w:space="0" w:color="auto"/>
                    <w:left w:val="none" w:sz="0" w:space="0" w:color="auto"/>
                    <w:bottom w:val="none" w:sz="0" w:space="0" w:color="auto"/>
                    <w:right w:val="none" w:sz="0" w:space="0" w:color="auto"/>
                  </w:divBdr>
                  <w:divsChild>
                    <w:div w:id="1841457346">
                      <w:marLeft w:val="0"/>
                      <w:marRight w:val="0"/>
                      <w:marTop w:val="0"/>
                      <w:marBottom w:val="0"/>
                      <w:divBdr>
                        <w:top w:val="none" w:sz="0" w:space="0" w:color="auto"/>
                        <w:left w:val="none" w:sz="0" w:space="0" w:color="auto"/>
                        <w:bottom w:val="none" w:sz="0" w:space="0" w:color="auto"/>
                        <w:right w:val="none" w:sz="0" w:space="0" w:color="auto"/>
                      </w:divBdr>
                      <w:divsChild>
                        <w:div w:id="262955725">
                          <w:marLeft w:val="115"/>
                          <w:marRight w:val="115"/>
                          <w:marTop w:val="0"/>
                          <w:marBottom w:val="0"/>
                          <w:divBdr>
                            <w:top w:val="none" w:sz="0" w:space="0" w:color="auto"/>
                            <w:left w:val="none" w:sz="0" w:space="0" w:color="auto"/>
                            <w:bottom w:val="none" w:sz="0" w:space="0" w:color="auto"/>
                            <w:right w:val="none" w:sz="0" w:space="0" w:color="auto"/>
                          </w:divBdr>
                          <w:divsChild>
                            <w:div w:id="1970355968">
                              <w:marLeft w:val="0"/>
                              <w:marRight w:val="0"/>
                              <w:marTop w:val="0"/>
                              <w:marBottom w:val="276"/>
                              <w:divBdr>
                                <w:top w:val="none" w:sz="0" w:space="0" w:color="auto"/>
                                <w:left w:val="none" w:sz="0" w:space="0" w:color="auto"/>
                                <w:bottom w:val="dotted" w:sz="4" w:space="14" w:color="CCCCCC"/>
                                <w:right w:val="none" w:sz="0" w:space="0" w:color="auto"/>
                              </w:divBdr>
                              <w:divsChild>
                                <w:div w:id="286665677">
                                  <w:marLeft w:val="0"/>
                                  <w:marRight w:val="0"/>
                                  <w:marTop w:val="0"/>
                                  <w:marBottom w:val="0"/>
                                  <w:divBdr>
                                    <w:top w:val="none" w:sz="0" w:space="0" w:color="auto"/>
                                    <w:left w:val="none" w:sz="0" w:space="0" w:color="auto"/>
                                    <w:bottom w:val="none" w:sz="0" w:space="0" w:color="auto"/>
                                    <w:right w:val="none" w:sz="0" w:space="0" w:color="auto"/>
                                  </w:divBdr>
                                  <w:divsChild>
                                    <w:div w:id="535701413">
                                      <w:marLeft w:val="0"/>
                                      <w:marRight w:val="0"/>
                                      <w:marTop w:val="0"/>
                                      <w:marBottom w:val="0"/>
                                      <w:divBdr>
                                        <w:top w:val="none" w:sz="0" w:space="0" w:color="auto"/>
                                        <w:left w:val="none" w:sz="0" w:space="0" w:color="auto"/>
                                        <w:bottom w:val="none" w:sz="0" w:space="0" w:color="auto"/>
                                        <w:right w:val="none" w:sz="0" w:space="0" w:color="auto"/>
                                      </w:divBdr>
                                    </w:div>
                                    <w:div w:id="152463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059797">
      <w:bodyDiv w:val="1"/>
      <w:marLeft w:val="0"/>
      <w:marRight w:val="0"/>
      <w:marTop w:val="0"/>
      <w:marBottom w:val="0"/>
      <w:divBdr>
        <w:top w:val="none" w:sz="0" w:space="0" w:color="auto"/>
        <w:left w:val="none" w:sz="0" w:space="0" w:color="auto"/>
        <w:bottom w:val="none" w:sz="0" w:space="0" w:color="auto"/>
        <w:right w:val="none" w:sz="0" w:space="0" w:color="auto"/>
      </w:divBdr>
      <w:divsChild>
        <w:div w:id="1280454507">
          <w:marLeft w:val="0"/>
          <w:marRight w:val="0"/>
          <w:marTop w:val="0"/>
          <w:marBottom w:val="0"/>
          <w:divBdr>
            <w:top w:val="none" w:sz="0" w:space="0" w:color="auto"/>
            <w:left w:val="none" w:sz="0" w:space="0" w:color="auto"/>
            <w:bottom w:val="none" w:sz="0" w:space="0" w:color="auto"/>
            <w:right w:val="none" w:sz="0" w:space="0" w:color="auto"/>
          </w:divBdr>
          <w:divsChild>
            <w:div w:id="1575506788">
              <w:marLeft w:val="0"/>
              <w:marRight w:val="0"/>
              <w:marTop w:val="0"/>
              <w:marBottom w:val="0"/>
              <w:divBdr>
                <w:top w:val="none" w:sz="0" w:space="0" w:color="auto"/>
                <w:left w:val="none" w:sz="0" w:space="0" w:color="auto"/>
                <w:bottom w:val="none" w:sz="0" w:space="0" w:color="auto"/>
                <w:right w:val="none" w:sz="0" w:space="0" w:color="auto"/>
              </w:divBdr>
              <w:divsChild>
                <w:div w:id="1637373337">
                  <w:marLeft w:val="115"/>
                  <w:marRight w:val="115"/>
                  <w:marTop w:val="0"/>
                  <w:marBottom w:val="0"/>
                  <w:divBdr>
                    <w:top w:val="none" w:sz="0" w:space="0" w:color="auto"/>
                    <w:left w:val="none" w:sz="0" w:space="0" w:color="auto"/>
                    <w:bottom w:val="none" w:sz="0" w:space="0" w:color="auto"/>
                    <w:right w:val="none" w:sz="0" w:space="0" w:color="auto"/>
                  </w:divBdr>
                  <w:divsChild>
                    <w:div w:id="1480220875">
                      <w:marLeft w:val="0"/>
                      <w:marRight w:val="0"/>
                      <w:marTop w:val="0"/>
                      <w:marBottom w:val="0"/>
                      <w:divBdr>
                        <w:top w:val="none" w:sz="0" w:space="0" w:color="auto"/>
                        <w:left w:val="none" w:sz="0" w:space="0" w:color="auto"/>
                        <w:bottom w:val="none" w:sz="0" w:space="0" w:color="auto"/>
                        <w:right w:val="none" w:sz="0" w:space="0" w:color="auto"/>
                      </w:divBdr>
                      <w:divsChild>
                        <w:div w:id="1902977933">
                          <w:marLeft w:val="115"/>
                          <w:marRight w:val="115"/>
                          <w:marTop w:val="0"/>
                          <w:marBottom w:val="0"/>
                          <w:divBdr>
                            <w:top w:val="none" w:sz="0" w:space="0" w:color="auto"/>
                            <w:left w:val="none" w:sz="0" w:space="0" w:color="auto"/>
                            <w:bottom w:val="none" w:sz="0" w:space="0" w:color="auto"/>
                            <w:right w:val="none" w:sz="0" w:space="0" w:color="auto"/>
                          </w:divBdr>
                          <w:divsChild>
                            <w:div w:id="1498617627">
                              <w:marLeft w:val="0"/>
                              <w:marRight w:val="0"/>
                              <w:marTop w:val="0"/>
                              <w:marBottom w:val="276"/>
                              <w:divBdr>
                                <w:top w:val="none" w:sz="0" w:space="0" w:color="auto"/>
                                <w:left w:val="none" w:sz="0" w:space="0" w:color="auto"/>
                                <w:bottom w:val="dotted" w:sz="4" w:space="14" w:color="CCCCCC"/>
                                <w:right w:val="none" w:sz="0" w:space="0" w:color="auto"/>
                              </w:divBdr>
                              <w:divsChild>
                                <w:div w:id="144961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9918852">
      <w:bodyDiv w:val="1"/>
      <w:marLeft w:val="0"/>
      <w:marRight w:val="0"/>
      <w:marTop w:val="0"/>
      <w:marBottom w:val="0"/>
      <w:divBdr>
        <w:top w:val="none" w:sz="0" w:space="0" w:color="auto"/>
        <w:left w:val="none" w:sz="0" w:space="0" w:color="auto"/>
        <w:bottom w:val="none" w:sz="0" w:space="0" w:color="auto"/>
        <w:right w:val="none" w:sz="0" w:space="0" w:color="auto"/>
      </w:divBdr>
      <w:divsChild>
        <w:div w:id="1609701572">
          <w:marLeft w:val="0"/>
          <w:marRight w:val="0"/>
          <w:marTop w:val="0"/>
          <w:marBottom w:val="0"/>
          <w:divBdr>
            <w:top w:val="none" w:sz="0" w:space="0" w:color="auto"/>
            <w:left w:val="none" w:sz="0" w:space="0" w:color="auto"/>
            <w:bottom w:val="none" w:sz="0" w:space="0" w:color="auto"/>
            <w:right w:val="none" w:sz="0" w:space="0" w:color="auto"/>
          </w:divBdr>
          <w:divsChild>
            <w:div w:id="1216742673">
              <w:marLeft w:val="0"/>
              <w:marRight w:val="0"/>
              <w:marTop w:val="0"/>
              <w:marBottom w:val="0"/>
              <w:divBdr>
                <w:top w:val="none" w:sz="0" w:space="0" w:color="auto"/>
                <w:left w:val="none" w:sz="0" w:space="0" w:color="auto"/>
                <w:bottom w:val="none" w:sz="0" w:space="0" w:color="auto"/>
                <w:right w:val="none" w:sz="0" w:space="0" w:color="auto"/>
              </w:divBdr>
              <w:divsChild>
                <w:div w:id="1990591407">
                  <w:marLeft w:val="115"/>
                  <w:marRight w:val="115"/>
                  <w:marTop w:val="0"/>
                  <w:marBottom w:val="0"/>
                  <w:divBdr>
                    <w:top w:val="none" w:sz="0" w:space="0" w:color="auto"/>
                    <w:left w:val="none" w:sz="0" w:space="0" w:color="auto"/>
                    <w:bottom w:val="none" w:sz="0" w:space="0" w:color="auto"/>
                    <w:right w:val="none" w:sz="0" w:space="0" w:color="auto"/>
                  </w:divBdr>
                  <w:divsChild>
                    <w:div w:id="1367868546">
                      <w:marLeft w:val="0"/>
                      <w:marRight w:val="0"/>
                      <w:marTop w:val="0"/>
                      <w:marBottom w:val="0"/>
                      <w:divBdr>
                        <w:top w:val="none" w:sz="0" w:space="0" w:color="auto"/>
                        <w:left w:val="none" w:sz="0" w:space="0" w:color="auto"/>
                        <w:bottom w:val="none" w:sz="0" w:space="0" w:color="auto"/>
                        <w:right w:val="none" w:sz="0" w:space="0" w:color="auto"/>
                      </w:divBdr>
                      <w:divsChild>
                        <w:div w:id="1978410042">
                          <w:marLeft w:val="115"/>
                          <w:marRight w:val="115"/>
                          <w:marTop w:val="0"/>
                          <w:marBottom w:val="0"/>
                          <w:divBdr>
                            <w:top w:val="none" w:sz="0" w:space="0" w:color="auto"/>
                            <w:left w:val="none" w:sz="0" w:space="0" w:color="auto"/>
                            <w:bottom w:val="none" w:sz="0" w:space="0" w:color="auto"/>
                            <w:right w:val="none" w:sz="0" w:space="0" w:color="auto"/>
                          </w:divBdr>
                          <w:divsChild>
                            <w:div w:id="1785878661">
                              <w:marLeft w:val="0"/>
                              <w:marRight w:val="0"/>
                              <w:marTop w:val="0"/>
                              <w:marBottom w:val="276"/>
                              <w:divBdr>
                                <w:top w:val="none" w:sz="0" w:space="0" w:color="auto"/>
                                <w:left w:val="none" w:sz="0" w:space="0" w:color="auto"/>
                                <w:bottom w:val="dotted" w:sz="4" w:space="14" w:color="CCCCCC"/>
                                <w:right w:val="none" w:sz="0" w:space="0" w:color="auto"/>
                              </w:divBdr>
                              <w:divsChild>
                                <w:div w:id="1710639826">
                                  <w:marLeft w:val="0"/>
                                  <w:marRight w:val="0"/>
                                  <w:marTop w:val="0"/>
                                  <w:marBottom w:val="0"/>
                                  <w:divBdr>
                                    <w:top w:val="none" w:sz="0" w:space="0" w:color="auto"/>
                                    <w:left w:val="none" w:sz="0" w:space="0" w:color="auto"/>
                                    <w:bottom w:val="none" w:sz="0" w:space="0" w:color="auto"/>
                                    <w:right w:val="none" w:sz="0" w:space="0" w:color="auto"/>
                                  </w:divBdr>
                                  <w:divsChild>
                                    <w:div w:id="1403481251">
                                      <w:marLeft w:val="0"/>
                                      <w:marRight w:val="0"/>
                                      <w:marTop w:val="0"/>
                                      <w:marBottom w:val="0"/>
                                      <w:divBdr>
                                        <w:top w:val="none" w:sz="0" w:space="0" w:color="auto"/>
                                        <w:left w:val="none" w:sz="0" w:space="0" w:color="auto"/>
                                        <w:bottom w:val="none" w:sz="0" w:space="0" w:color="auto"/>
                                        <w:right w:val="none" w:sz="0" w:space="0" w:color="auto"/>
                                      </w:divBdr>
                                    </w:div>
                                    <w:div w:id="30586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367809">
      <w:bodyDiv w:val="1"/>
      <w:marLeft w:val="0"/>
      <w:marRight w:val="0"/>
      <w:marTop w:val="0"/>
      <w:marBottom w:val="0"/>
      <w:divBdr>
        <w:top w:val="none" w:sz="0" w:space="0" w:color="auto"/>
        <w:left w:val="none" w:sz="0" w:space="0" w:color="auto"/>
        <w:bottom w:val="none" w:sz="0" w:space="0" w:color="auto"/>
        <w:right w:val="none" w:sz="0" w:space="0" w:color="auto"/>
      </w:divBdr>
      <w:divsChild>
        <w:div w:id="2067678794">
          <w:marLeft w:val="0"/>
          <w:marRight w:val="0"/>
          <w:marTop w:val="0"/>
          <w:marBottom w:val="0"/>
          <w:divBdr>
            <w:top w:val="none" w:sz="0" w:space="0" w:color="auto"/>
            <w:left w:val="none" w:sz="0" w:space="0" w:color="auto"/>
            <w:bottom w:val="none" w:sz="0" w:space="0" w:color="auto"/>
            <w:right w:val="none" w:sz="0" w:space="0" w:color="auto"/>
          </w:divBdr>
          <w:divsChild>
            <w:div w:id="1419249598">
              <w:marLeft w:val="0"/>
              <w:marRight w:val="0"/>
              <w:marTop w:val="0"/>
              <w:marBottom w:val="0"/>
              <w:divBdr>
                <w:top w:val="none" w:sz="0" w:space="0" w:color="auto"/>
                <w:left w:val="none" w:sz="0" w:space="0" w:color="auto"/>
                <w:bottom w:val="none" w:sz="0" w:space="0" w:color="auto"/>
                <w:right w:val="none" w:sz="0" w:space="0" w:color="auto"/>
              </w:divBdr>
              <w:divsChild>
                <w:div w:id="279651329">
                  <w:marLeft w:val="115"/>
                  <w:marRight w:val="115"/>
                  <w:marTop w:val="0"/>
                  <w:marBottom w:val="0"/>
                  <w:divBdr>
                    <w:top w:val="none" w:sz="0" w:space="0" w:color="auto"/>
                    <w:left w:val="none" w:sz="0" w:space="0" w:color="auto"/>
                    <w:bottom w:val="none" w:sz="0" w:space="0" w:color="auto"/>
                    <w:right w:val="none" w:sz="0" w:space="0" w:color="auto"/>
                  </w:divBdr>
                  <w:divsChild>
                    <w:div w:id="1112213975">
                      <w:marLeft w:val="0"/>
                      <w:marRight w:val="0"/>
                      <w:marTop w:val="0"/>
                      <w:marBottom w:val="0"/>
                      <w:divBdr>
                        <w:top w:val="none" w:sz="0" w:space="0" w:color="auto"/>
                        <w:left w:val="none" w:sz="0" w:space="0" w:color="auto"/>
                        <w:bottom w:val="none" w:sz="0" w:space="0" w:color="auto"/>
                        <w:right w:val="none" w:sz="0" w:space="0" w:color="auto"/>
                      </w:divBdr>
                      <w:divsChild>
                        <w:div w:id="1510868821">
                          <w:marLeft w:val="115"/>
                          <w:marRight w:val="115"/>
                          <w:marTop w:val="0"/>
                          <w:marBottom w:val="0"/>
                          <w:divBdr>
                            <w:top w:val="none" w:sz="0" w:space="0" w:color="auto"/>
                            <w:left w:val="none" w:sz="0" w:space="0" w:color="auto"/>
                            <w:bottom w:val="none" w:sz="0" w:space="0" w:color="auto"/>
                            <w:right w:val="none" w:sz="0" w:space="0" w:color="auto"/>
                          </w:divBdr>
                          <w:divsChild>
                            <w:div w:id="1322125895">
                              <w:marLeft w:val="0"/>
                              <w:marRight w:val="0"/>
                              <w:marTop w:val="0"/>
                              <w:marBottom w:val="276"/>
                              <w:divBdr>
                                <w:top w:val="none" w:sz="0" w:space="0" w:color="auto"/>
                                <w:left w:val="none" w:sz="0" w:space="0" w:color="auto"/>
                                <w:bottom w:val="dotted" w:sz="4" w:space="14" w:color="CCCCCC"/>
                                <w:right w:val="none" w:sz="0" w:space="0" w:color="auto"/>
                              </w:divBdr>
                              <w:divsChild>
                                <w:div w:id="1099251725">
                                  <w:marLeft w:val="0"/>
                                  <w:marRight w:val="0"/>
                                  <w:marTop w:val="0"/>
                                  <w:marBottom w:val="0"/>
                                  <w:divBdr>
                                    <w:top w:val="none" w:sz="0" w:space="0" w:color="auto"/>
                                    <w:left w:val="none" w:sz="0" w:space="0" w:color="auto"/>
                                    <w:bottom w:val="none" w:sz="0" w:space="0" w:color="auto"/>
                                    <w:right w:val="none" w:sz="0" w:space="0" w:color="auto"/>
                                  </w:divBdr>
                                  <w:divsChild>
                                    <w:div w:id="464467463">
                                      <w:marLeft w:val="0"/>
                                      <w:marRight w:val="0"/>
                                      <w:marTop w:val="0"/>
                                      <w:marBottom w:val="0"/>
                                      <w:divBdr>
                                        <w:top w:val="none" w:sz="0" w:space="0" w:color="auto"/>
                                        <w:left w:val="none" w:sz="0" w:space="0" w:color="auto"/>
                                        <w:bottom w:val="none" w:sz="0" w:space="0" w:color="auto"/>
                                        <w:right w:val="none" w:sz="0" w:space="0" w:color="auto"/>
                                      </w:divBdr>
                                    </w:div>
                                    <w:div w:id="101823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7127429">
      <w:bodyDiv w:val="1"/>
      <w:marLeft w:val="0"/>
      <w:marRight w:val="0"/>
      <w:marTop w:val="0"/>
      <w:marBottom w:val="0"/>
      <w:divBdr>
        <w:top w:val="none" w:sz="0" w:space="0" w:color="auto"/>
        <w:left w:val="none" w:sz="0" w:space="0" w:color="auto"/>
        <w:bottom w:val="none" w:sz="0" w:space="0" w:color="auto"/>
        <w:right w:val="none" w:sz="0" w:space="0" w:color="auto"/>
      </w:divBdr>
      <w:divsChild>
        <w:div w:id="1940522556">
          <w:marLeft w:val="0"/>
          <w:marRight w:val="0"/>
          <w:marTop w:val="0"/>
          <w:marBottom w:val="0"/>
          <w:divBdr>
            <w:top w:val="none" w:sz="0" w:space="0" w:color="auto"/>
            <w:left w:val="none" w:sz="0" w:space="0" w:color="auto"/>
            <w:bottom w:val="none" w:sz="0" w:space="0" w:color="auto"/>
            <w:right w:val="none" w:sz="0" w:space="0" w:color="auto"/>
          </w:divBdr>
          <w:divsChild>
            <w:div w:id="1097605068">
              <w:marLeft w:val="0"/>
              <w:marRight w:val="0"/>
              <w:marTop w:val="0"/>
              <w:marBottom w:val="0"/>
              <w:divBdr>
                <w:top w:val="none" w:sz="0" w:space="0" w:color="auto"/>
                <w:left w:val="none" w:sz="0" w:space="0" w:color="auto"/>
                <w:bottom w:val="none" w:sz="0" w:space="0" w:color="auto"/>
                <w:right w:val="none" w:sz="0" w:space="0" w:color="auto"/>
              </w:divBdr>
              <w:divsChild>
                <w:div w:id="1902053748">
                  <w:marLeft w:val="115"/>
                  <w:marRight w:val="115"/>
                  <w:marTop w:val="0"/>
                  <w:marBottom w:val="0"/>
                  <w:divBdr>
                    <w:top w:val="none" w:sz="0" w:space="0" w:color="auto"/>
                    <w:left w:val="none" w:sz="0" w:space="0" w:color="auto"/>
                    <w:bottom w:val="none" w:sz="0" w:space="0" w:color="auto"/>
                    <w:right w:val="none" w:sz="0" w:space="0" w:color="auto"/>
                  </w:divBdr>
                  <w:divsChild>
                    <w:div w:id="1536116420">
                      <w:marLeft w:val="0"/>
                      <w:marRight w:val="0"/>
                      <w:marTop w:val="0"/>
                      <w:marBottom w:val="0"/>
                      <w:divBdr>
                        <w:top w:val="none" w:sz="0" w:space="0" w:color="auto"/>
                        <w:left w:val="none" w:sz="0" w:space="0" w:color="auto"/>
                        <w:bottom w:val="none" w:sz="0" w:space="0" w:color="auto"/>
                        <w:right w:val="none" w:sz="0" w:space="0" w:color="auto"/>
                      </w:divBdr>
                      <w:divsChild>
                        <w:div w:id="349719109">
                          <w:marLeft w:val="115"/>
                          <w:marRight w:val="115"/>
                          <w:marTop w:val="0"/>
                          <w:marBottom w:val="0"/>
                          <w:divBdr>
                            <w:top w:val="none" w:sz="0" w:space="0" w:color="auto"/>
                            <w:left w:val="none" w:sz="0" w:space="0" w:color="auto"/>
                            <w:bottom w:val="none" w:sz="0" w:space="0" w:color="auto"/>
                            <w:right w:val="none" w:sz="0" w:space="0" w:color="auto"/>
                          </w:divBdr>
                          <w:divsChild>
                            <w:div w:id="1468859156">
                              <w:marLeft w:val="0"/>
                              <w:marRight w:val="0"/>
                              <w:marTop w:val="0"/>
                              <w:marBottom w:val="276"/>
                              <w:divBdr>
                                <w:top w:val="none" w:sz="0" w:space="0" w:color="auto"/>
                                <w:left w:val="none" w:sz="0" w:space="0" w:color="auto"/>
                                <w:bottom w:val="dotted" w:sz="4" w:space="14" w:color="CCCCCC"/>
                                <w:right w:val="none" w:sz="0" w:space="0" w:color="auto"/>
                              </w:divBdr>
                              <w:divsChild>
                                <w:div w:id="1634865652">
                                  <w:marLeft w:val="0"/>
                                  <w:marRight w:val="0"/>
                                  <w:marTop w:val="0"/>
                                  <w:marBottom w:val="0"/>
                                  <w:divBdr>
                                    <w:top w:val="none" w:sz="0" w:space="0" w:color="auto"/>
                                    <w:left w:val="none" w:sz="0" w:space="0" w:color="auto"/>
                                    <w:bottom w:val="none" w:sz="0" w:space="0" w:color="auto"/>
                                    <w:right w:val="none" w:sz="0" w:space="0" w:color="auto"/>
                                  </w:divBdr>
                                  <w:divsChild>
                                    <w:div w:id="580069124">
                                      <w:marLeft w:val="0"/>
                                      <w:marRight w:val="0"/>
                                      <w:marTop w:val="0"/>
                                      <w:marBottom w:val="0"/>
                                      <w:divBdr>
                                        <w:top w:val="none" w:sz="0" w:space="0" w:color="auto"/>
                                        <w:left w:val="none" w:sz="0" w:space="0" w:color="auto"/>
                                        <w:bottom w:val="none" w:sz="0" w:space="0" w:color="auto"/>
                                        <w:right w:val="none" w:sz="0" w:space="0" w:color="auto"/>
                                      </w:divBdr>
                                    </w:div>
                                    <w:div w:id="30038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126095">
      <w:bodyDiv w:val="1"/>
      <w:marLeft w:val="0"/>
      <w:marRight w:val="0"/>
      <w:marTop w:val="0"/>
      <w:marBottom w:val="0"/>
      <w:divBdr>
        <w:top w:val="none" w:sz="0" w:space="0" w:color="auto"/>
        <w:left w:val="none" w:sz="0" w:space="0" w:color="auto"/>
        <w:bottom w:val="none" w:sz="0" w:space="0" w:color="auto"/>
        <w:right w:val="none" w:sz="0" w:space="0" w:color="auto"/>
      </w:divBdr>
      <w:divsChild>
        <w:div w:id="1878468021">
          <w:marLeft w:val="0"/>
          <w:marRight w:val="0"/>
          <w:marTop w:val="0"/>
          <w:marBottom w:val="0"/>
          <w:divBdr>
            <w:top w:val="none" w:sz="0" w:space="0" w:color="auto"/>
            <w:left w:val="none" w:sz="0" w:space="0" w:color="auto"/>
            <w:bottom w:val="none" w:sz="0" w:space="0" w:color="auto"/>
            <w:right w:val="none" w:sz="0" w:space="0" w:color="auto"/>
          </w:divBdr>
          <w:divsChild>
            <w:div w:id="1910656352">
              <w:marLeft w:val="0"/>
              <w:marRight w:val="0"/>
              <w:marTop w:val="0"/>
              <w:marBottom w:val="0"/>
              <w:divBdr>
                <w:top w:val="none" w:sz="0" w:space="0" w:color="auto"/>
                <w:left w:val="none" w:sz="0" w:space="0" w:color="auto"/>
                <w:bottom w:val="none" w:sz="0" w:space="0" w:color="auto"/>
                <w:right w:val="none" w:sz="0" w:space="0" w:color="auto"/>
              </w:divBdr>
              <w:divsChild>
                <w:div w:id="416286516">
                  <w:marLeft w:val="115"/>
                  <w:marRight w:val="115"/>
                  <w:marTop w:val="0"/>
                  <w:marBottom w:val="0"/>
                  <w:divBdr>
                    <w:top w:val="none" w:sz="0" w:space="0" w:color="auto"/>
                    <w:left w:val="none" w:sz="0" w:space="0" w:color="auto"/>
                    <w:bottom w:val="none" w:sz="0" w:space="0" w:color="auto"/>
                    <w:right w:val="none" w:sz="0" w:space="0" w:color="auto"/>
                  </w:divBdr>
                  <w:divsChild>
                    <w:div w:id="1936748836">
                      <w:marLeft w:val="0"/>
                      <w:marRight w:val="0"/>
                      <w:marTop w:val="0"/>
                      <w:marBottom w:val="0"/>
                      <w:divBdr>
                        <w:top w:val="none" w:sz="0" w:space="0" w:color="auto"/>
                        <w:left w:val="none" w:sz="0" w:space="0" w:color="auto"/>
                        <w:bottom w:val="none" w:sz="0" w:space="0" w:color="auto"/>
                        <w:right w:val="none" w:sz="0" w:space="0" w:color="auto"/>
                      </w:divBdr>
                      <w:divsChild>
                        <w:div w:id="745810039">
                          <w:marLeft w:val="115"/>
                          <w:marRight w:val="115"/>
                          <w:marTop w:val="0"/>
                          <w:marBottom w:val="0"/>
                          <w:divBdr>
                            <w:top w:val="none" w:sz="0" w:space="0" w:color="auto"/>
                            <w:left w:val="none" w:sz="0" w:space="0" w:color="auto"/>
                            <w:bottom w:val="none" w:sz="0" w:space="0" w:color="auto"/>
                            <w:right w:val="none" w:sz="0" w:space="0" w:color="auto"/>
                          </w:divBdr>
                          <w:divsChild>
                            <w:div w:id="804660057">
                              <w:marLeft w:val="0"/>
                              <w:marRight w:val="0"/>
                              <w:marTop w:val="0"/>
                              <w:marBottom w:val="276"/>
                              <w:divBdr>
                                <w:top w:val="none" w:sz="0" w:space="0" w:color="auto"/>
                                <w:left w:val="none" w:sz="0" w:space="0" w:color="auto"/>
                                <w:bottom w:val="dotted" w:sz="4" w:space="14" w:color="CCCCCC"/>
                                <w:right w:val="none" w:sz="0" w:space="0" w:color="auto"/>
                              </w:divBdr>
                              <w:divsChild>
                                <w:div w:id="247156639">
                                  <w:marLeft w:val="0"/>
                                  <w:marRight w:val="0"/>
                                  <w:marTop w:val="0"/>
                                  <w:marBottom w:val="0"/>
                                  <w:divBdr>
                                    <w:top w:val="none" w:sz="0" w:space="0" w:color="auto"/>
                                    <w:left w:val="none" w:sz="0" w:space="0" w:color="auto"/>
                                    <w:bottom w:val="none" w:sz="0" w:space="0" w:color="auto"/>
                                    <w:right w:val="none" w:sz="0" w:space="0" w:color="auto"/>
                                  </w:divBdr>
                                  <w:divsChild>
                                    <w:div w:id="591865050">
                                      <w:marLeft w:val="0"/>
                                      <w:marRight w:val="0"/>
                                      <w:marTop w:val="0"/>
                                      <w:marBottom w:val="0"/>
                                      <w:divBdr>
                                        <w:top w:val="none" w:sz="0" w:space="0" w:color="auto"/>
                                        <w:left w:val="none" w:sz="0" w:space="0" w:color="auto"/>
                                        <w:bottom w:val="none" w:sz="0" w:space="0" w:color="auto"/>
                                        <w:right w:val="none" w:sz="0" w:space="0" w:color="auto"/>
                                      </w:divBdr>
                                    </w:div>
                                    <w:div w:id="117985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301328">
      <w:bodyDiv w:val="1"/>
      <w:marLeft w:val="0"/>
      <w:marRight w:val="0"/>
      <w:marTop w:val="0"/>
      <w:marBottom w:val="0"/>
      <w:divBdr>
        <w:top w:val="none" w:sz="0" w:space="0" w:color="auto"/>
        <w:left w:val="none" w:sz="0" w:space="0" w:color="auto"/>
        <w:bottom w:val="none" w:sz="0" w:space="0" w:color="auto"/>
        <w:right w:val="none" w:sz="0" w:space="0" w:color="auto"/>
      </w:divBdr>
      <w:divsChild>
        <w:div w:id="1544831856">
          <w:marLeft w:val="0"/>
          <w:marRight w:val="0"/>
          <w:marTop w:val="0"/>
          <w:marBottom w:val="0"/>
          <w:divBdr>
            <w:top w:val="none" w:sz="0" w:space="0" w:color="auto"/>
            <w:left w:val="none" w:sz="0" w:space="0" w:color="auto"/>
            <w:bottom w:val="none" w:sz="0" w:space="0" w:color="auto"/>
            <w:right w:val="none" w:sz="0" w:space="0" w:color="auto"/>
          </w:divBdr>
          <w:divsChild>
            <w:div w:id="386149625">
              <w:marLeft w:val="0"/>
              <w:marRight w:val="0"/>
              <w:marTop w:val="0"/>
              <w:marBottom w:val="0"/>
              <w:divBdr>
                <w:top w:val="none" w:sz="0" w:space="0" w:color="auto"/>
                <w:left w:val="none" w:sz="0" w:space="0" w:color="auto"/>
                <w:bottom w:val="none" w:sz="0" w:space="0" w:color="auto"/>
                <w:right w:val="none" w:sz="0" w:space="0" w:color="auto"/>
              </w:divBdr>
              <w:divsChild>
                <w:div w:id="1688674083">
                  <w:marLeft w:val="115"/>
                  <w:marRight w:val="115"/>
                  <w:marTop w:val="0"/>
                  <w:marBottom w:val="0"/>
                  <w:divBdr>
                    <w:top w:val="none" w:sz="0" w:space="0" w:color="auto"/>
                    <w:left w:val="none" w:sz="0" w:space="0" w:color="auto"/>
                    <w:bottom w:val="none" w:sz="0" w:space="0" w:color="auto"/>
                    <w:right w:val="none" w:sz="0" w:space="0" w:color="auto"/>
                  </w:divBdr>
                  <w:divsChild>
                    <w:div w:id="2090423508">
                      <w:marLeft w:val="0"/>
                      <w:marRight w:val="0"/>
                      <w:marTop w:val="0"/>
                      <w:marBottom w:val="0"/>
                      <w:divBdr>
                        <w:top w:val="none" w:sz="0" w:space="0" w:color="auto"/>
                        <w:left w:val="none" w:sz="0" w:space="0" w:color="auto"/>
                        <w:bottom w:val="none" w:sz="0" w:space="0" w:color="auto"/>
                        <w:right w:val="none" w:sz="0" w:space="0" w:color="auto"/>
                      </w:divBdr>
                      <w:divsChild>
                        <w:div w:id="2113896210">
                          <w:marLeft w:val="115"/>
                          <w:marRight w:val="115"/>
                          <w:marTop w:val="0"/>
                          <w:marBottom w:val="0"/>
                          <w:divBdr>
                            <w:top w:val="none" w:sz="0" w:space="0" w:color="auto"/>
                            <w:left w:val="none" w:sz="0" w:space="0" w:color="auto"/>
                            <w:bottom w:val="none" w:sz="0" w:space="0" w:color="auto"/>
                            <w:right w:val="none" w:sz="0" w:space="0" w:color="auto"/>
                          </w:divBdr>
                          <w:divsChild>
                            <w:div w:id="930822428">
                              <w:marLeft w:val="0"/>
                              <w:marRight w:val="0"/>
                              <w:marTop w:val="0"/>
                              <w:marBottom w:val="276"/>
                              <w:divBdr>
                                <w:top w:val="none" w:sz="0" w:space="0" w:color="auto"/>
                                <w:left w:val="none" w:sz="0" w:space="0" w:color="auto"/>
                                <w:bottom w:val="dotted" w:sz="4" w:space="14" w:color="CCCCCC"/>
                                <w:right w:val="none" w:sz="0" w:space="0" w:color="auto"/>
                              </w:divBdr>
                              <w:divsChild>
                                <w:div w:id="233661502">
                                  <w:marLeft w:val="0"/>
                                  <w:marRight w:val="0"/>
                                  <w:marTop w:val="0"/>
                                  <w:marBottom w:val="0"/>
                                  <w:divBdr>
                                    <w:top w:val="none" w:sz="0" w:space="0" w:color="auto"/>
                                    <w:left w:val="none" w:sz="0" w:space="0" w:color="auto"/>
                                    <w:bottom w:val="none" w:sz="0" w:space="0" w:color="auto"/>
                                    <w:right w:val="none" w:sz="0" w:space="0" w:color="auto"/>
                                  </w:divBdr>
                                  <w:divsChild>
                                    <w:div w:id="2002923435">
                                      <w:marLeft w:val="0"/>
                                      <w:marRight w:val="0"/>
                                      <w:marTop w:val="0"/>
                                      <w:marBottom w:val="0"/>
                                      <w:divBdr>
                                        <w:top w:val="none" w:sz="0" w:space="0" w:color="auto"/>
                                        <w:left w:val="none" w:sz="0" w:space="0" w:color="auto"/>
                                        <w:bottom w:val="none" w:sz="0" w:space="0" w:color="auto"/>
                                        <w:right w:val="none" w:sz="0" w:space="0" w:color="auto"/>
                                      </w:divBdr>
                                    </w:div>
                                    <w:div w:id="68845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619833">
      <w:bodyDiv w:val="1"/>
      <w:marLeft w:val="0"/>
      <w:marRight w:val="0"/>
      <w:marTop w:val="0"/>
      <w:marBottom w:val="0"/>
      <w:divBdr>
        <w:top w:val="none" w:sz="0" w:space="0" w:color="auto"/>
        <w:left w:val="none" w:sz="0" w:space="0" w:color="auto"/>
        <w:bottom w:val="none" w:sz="0" w:space="0" w:color="auto"/>
        <w:right w:val="none" w:sz="0" w:space="0" w:color="auto"/>
      </w:divBdr>
      <w:divsChild>
        <w:div w:id="633170963">
          <w:marLeft w:val="0"/>
          <w:marRight w:val="0"/>
          <w:marTop w:val="0"/>
          <w:marBottom w:val="0"/>
          <w:divBdr>
            <w:top w:val="none" w:sz="0" w:space="0" w:color="auto"/>
            <w:left w:val="none" w:sz="0" w:space="0" w:color="auto"/>
            <w:bottom w:val="none" w:sz="0" w:space="0" w:color="auto"/>
            <w:right w:val="none" w:sz="0" w:space="0" w:color="auto"/>
          </w:divBdr>
          <w:divsChild>
            <w:div w:id="651760055">
              <w:marLeft w:val="0"/>
              <w:marRight w:val="0"/>
              <w:marTop w:val="0"/>
              <w:marBottom w:val="0"/>
              <w:divBdr>
                <w:top w:val="none" w:sz="0" w:space="0" w:color="auto"/>
                <w:left w:val="none" w:sz="0" w:space="0" w:color="auto"/>
                <w:bottom w:val="none" w:sz="0" w:space="0" w:color="auto"/>
                <w:right w:val="none" w:sz="0" w:space="0" w:color="auto"/>
              </w:divBdr>
              <w:divsChild>
                <w:div w:id="1950509428">
                  <w:marLeft w:val="115"/>
                  <w:marRight w:val="115"/>
                  <w:marTop w:val="0"/>
                  <w:marBottom w:val="0"/>
                  <w:divBdr>
                    <w:top w:val="none" w:sz="0" w:space="0" w:color="auto"/>
                    <w:left w:val="none" w:sz="0" w:space="0" w:color="auto"/>
                    <w:bottom w:val="none" w:sz="0" w:space="0" w:color="auto"/>
                    <w:right w:val="none" w:sz="0" w:space="0" w:color="auto"/>
                  </w:divBdr>
                  <w:divsChild>
                    <w:div w:id="138615156">
                      <w:marLeft w:val="0"/>
                      <w:marRight w:val="0"/>
                      <w:marTop w:val="0"/>
                      <w:marBottom w:val="0"/>
                      <w:divBdr>
                        <w:top w:val="none" w:sz="0" w:space="0" w:color="auto"/>
                        <w:left w:val="none" w:sz="0" w:space="0" w:color="auto"/>
                        <w:bottom w:val="none" w:sz="0" w:space="0" w:color="auto"/>
                        <w:right w:val="none" w:sz="0" w:space="0" w:color="auto"/>
                      </w:divBdr>
                      <w:divsChild>
                        <w:div w:id="444228632">
                          <w:marLeft w:val="115"/>
                          <w:marRight w:val="115"/>
                          <w:marTop w:val="0"/>
                          <w:marBottom w:val="0"/>
                          <w:divBdr>
                            <w:top w:val="none" w:sz="0" w:space="0" w:color="auto"/>
                            <w:left w:val="none" w:sz="0" w:space="0" w:color="auto"/>
                            <w:bottom w:val="none" w:sz="0" w:space="0" w:color="auto"/>
                            <w:right w:val="none" w:sz="0" w:space="0" w:color="auto"/>
                          </w:divBdr>
                          <w:divsChild>
                            <w:div w:id="1648852614">
                              <w:marLeft w:val="0"/>
                              <w:marRight w:val="0"/>
                              <w:marTop w:val="0"/>
                              <w:marBottom w:val="276"/>
                              <w:divBdr>
                                <w:top w:val="none" w:sz="0" w:space="0" w:color="auto"/>
                                <w:left w:val="none" w:sz="0" w:space="0" w:color="auto"/>
                                <w:bottom w:val="dotted" w:sz="4" w:space="14" w:color="CCCCCC"/>
                                <w:right w:val="none" w:sz="0" w:space="0" w:color="auto"/>
                              </w:divBdr>
                              <w:divsChild>
                                <w:div w:id="491261882">
                                  <w:marLeft w:val="0"/>
                                  <w:marRight w:val="0"/>
                                  <w:marTop w:val="0"/>
                                  <w:marBottom w:val="0"/>
                                  <w:divBdr>
                                    <w:top w:val="none" w:sz="0" w:space="0" w:color="auto"/>
                                    <w:left w:val="none" w:sz="0" w:space="0" w:color="auto"/>
                                    <w:bottom w:val="none" w:sz="0" w:space="0" w:color="auto"/>
                                    <w:right w:val="none" w:sz="0" w:space="0" w:color="auto"/>
                                  </w:divBdr>
                                  <w:divsChild>
                                    <w:div w:id="682128083">
                                      <w:marLeft w:val="0"/>
                                      <w:marRight w:val="0"/>
                                      <w:marTop w:val="0"/>
                                      <w:marBottom w:val="0"/>
                                      <w:divBdr>
                                        <w:top w:val="none" w:sz="0" w:space="0" w:color="auto"/>
                                        <w:left w:val="none" w:sz="0" w:space="0" w:color="auto"/>
                                        <w:bottom w:val="none" w:sz="0" w:space="0" w:color="auto"/>
                                        <w:right w:val="none" w:sz="0" w:space="0" w:color="auto"/>
                                      </w:divBdr>
                                    </w:div>
                                    <w:div w:id="16705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396208">
      <w:bodyDiv w:val="1"/>
      <w:marLeft w:val="0"/>
      <w:marRight w:val="0"/>
      <w:marTop w:val="0"/>
      <w:marBottom w:val="0"/>
      <w:divBdr>
        <w:top w:val="none" w:sz="0" w:space="0" w:color="auto"/>
        <w:left w:val="none" w:sz="0" w:space="0" w:color="auto"/>
        <w:bottom w:val="none" w:sz="0" w:space="0" w:color="auto"/>
        <w:right w:val="none" w:sz="0" w:space="0" w:color="auto"/>
      </w:divBdr>
      <w:divsChild>
        <w:div w:id="1316563956">
          <w:marLeft w:val="0"/>
          <w:marRight w:val="0"/>
          <w:marTop w:val="0"/>
          <w:marBottom w:val="0"/>
          <w:divBdr>
            <w:top w:val="none" w:sz="0" w:space="0" w:color="auto"/>
            <w:left w:val="none" w:sz="0" w:space="0" w:color="auto"/>
            <w:bottom w:val="none" w:sz="0" w:space="0" w:color="auto"/>
            <w:right w:val="none" w:sz="0" w:space="0" w:color="auto"/>
          </w:divBdr>
          <w:divsChild>
            <w:div w:id="939215863">
              <w:marLeft w:val="0"/>
              <w:marRight w:val="0"/>
              <w:marTop w:val="0"/>
              <w:marBottom w:val="0"/>
              <w:divBdr>
                <w:top w:val="none" w:sz="0" w:space="0" w:color="auto"/>
                <w:left w:val="none" w:sz="0" w:space="0" w:color="auto"/>
                <w:bottom w:val="none" w:sz="0" w:space="0" w:color="auto"/>
                <w:right w:val="none" w:sz="0" w:space="0" w:color="auto"/>
              </w:divBdr>
              <w:divsChild>
                <w:div w:id="1085615739">
                  <w:marLeft w:val="115"/>
                  <w:marRight w:val="115"/>
                  <w:marTop w:val="0"/>
                  <w:marBottom w:val="0"/>
                  <w:divBdr>
                    <w:top w:val="none" w:sz="0" w:space="0" w:color="auto"/>
                    <w:left w:val="none" w:sz="0" w:space="0" w:color="auto"/>
                    <w:bottom w:val="none" w:sz="0" w:space="0" w:color="auto"/>
                    <w:right w:val="none" w:sz="0" w:space="0" w:color="auto"/>
                  </w:divBdr>
                  <w:divsChild>
                    <w:div w:id="1091660255">
                      <w:marLeft w:val="0"/>
                      <w:marRight w:val="0"/>
                      <w:marTop w:val="0"/>
                      <w:marBottom w:val="0"/>
                      <w:divBdr>
                        <w:top w:val="none" w:sz="0" w:space="0" w:color="auto"/>
                        <w:left w:val="none" w:sz="0" w:space="0" w:color="auto"/>
                        <w:bottom w:val="none" w:sz="0" w:space="0" w:color="auto"/>
                        <w:right w:val="none" w:sz="0" w:space="0" w:color="auto"/>
                      </w:divBdr>
                      <w:divsChild>
                        <w:div w:id="1861698817">
                          <w:marLeft w:val="115"/>
                          <w:marRight w:val="115"/>
                          <w:marTop w:val="0"/>
                          <w:marBottom w:val="0"/>
                          <w:divBdr>
                            <w:top w:val="none" w:sz="0" w:space="0" w:color="auto"/>
                            <w:left w:val="none" w:sz="0" w:space="0" w:color="auto"/>
                            <w:bottom w:val="none" w:sz="0" w:space="0" w:color="auto"/>
                            <w:right w:val="none" w:sz="0" w:space="0" w:color="auto"/>
                          </w:divBdr>
                          <w:divsChild>
                            <w:div w:id="1573928604">
                              <w:marLeft w:val="0"/>
                              <w:marRight w:val="0"/>
                              <w:marTop w:val="0"/>
                              <w:marBottom w:val="276"/>
                              <w:divBdr>
                                <w:top w:val="none" w:sz="0" w:space="0" w:color="auto"/>
                                <w:left w:val="none" w:sz="0" w:space="0" w:color="auto"/>
                                <w:bottom w:val="dotted" w:sz="4" w:space="14" w:color="CCCCCC"/>
                                <w:right w:val="none" w:sz="0" w:space="0" w:color="auto"/>
                              </w:divBdr>
                              <w:divsChild>
                                <w:div w:id="86656271">
                                  <w:marLeft w:val="0"/>
                                  <w:marRight w:val="0"/>
                                  <w:marTop w:val="0"/>
                                  <w:marBottom w:val="0"/>
                                  <w:divBdr>
                                    <w:top w:val="none" w:sz="0" w:space="0" w:color="auto"/>
                                    <w:left w:val="none" w:sz="0" w:space="0" w:color="auto"/>
                                    <w:bottom w:val="none" w:sz="0" w:space="0" w:color="auto"/>
                                    <w:right w:val="none" w:sz="0" w:space="0" w:color="auto"/>
                                  </w:divBdr>
                                  <w:divsChild>
                                    <w:div w:id="1638029033">
                                      <w:marLeft w:val="0"/>
                                      <w:marRight w:val="0"/>
                                      <w:marTop w:val="0"/>
                                      <w:marBottom w:val="0"/>
                                      <w:divBdr>
                                        <w:top w:val="none" w:sz="0" w:space="0" w:color="auto"/>
                                        <w:left w:val="none" w:sz="0" w:space="0" w:color="auto"/>
                                        <w:bottom w:val="none" w:sz="0" w:space="0" w:color="auto"/>
                                        <w:right w:val="none" w:sz="0" w:space="0" w:color="auto"/>
                                      </w:divBdr>
                                    </w:div>
                                    <w:div w:id="130797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5672704">
      <w:bodyDiv w:val="1"/>
      <w:marLeft w:val="0"/>
      <w:marRight w:val="0"/>
      <w:marTop w:val="0"/>
      <w:marBottom w:val="0"/>
      <w:divBdr>
        <w:top w:val="none" w:sz="0" w:space="0" w:color="auto"/>
        <w:left w:val="none" w:sz="0" w:space="0" w:color="auto"/>
        <w:bottom w:val="none" w:sz="0" w:space="0" w:color="auto"/>
        <w:right w:val="none" w:sz="0" w:space="0" w:color="auto"/>
      </w:divBdr>
      <w:divsChild>
        <w:div w:id="1609656485">
          <w:marLeft w:val="0"/>
          <w:marRight w:val="0"/>
          <w:marTop w:val="0"/>
          <w:marBottom w:val="0"/>
          <w:divBdr>
            <w:top w:val="none" w:sz="0" w:space="0" w:color="auto"/>
            <w:left w:val="none" w:sz="0" w:space="0" w:color="auto"/>
            <w:bottom w:val="none" w:sz="0" w:space="0" w:color="auto"/>
            <w:right w:val="none" w:sz="0" w:space="0" w:color="auto"/>
          </w:divBdr>
          <w:divsChild>
            <w:div w:id="613900734">
              <w:marLeft w:val="0"/>
              <w:marRight w:val="0"/>
              <w:marTop w:val="0"/>
              <w:marBottom w:val="0"/>
              <w:divBdr>
                <w:top w:val="none" w:sz="0" w:space="0" w:color="auto"/>
                <w:left w:val="none" w:sz="0" w:space="0" w:color="auto"/>
                <w:bottom w:val="none" w:sz="0" w:space="0" w:color="auto"/>
                <w:right w:val="none" w:sz="0" w:space="0" w:color="auto"/>
              </w:divBdr>
              <w:divsChild>
                <w:div w:id="84621417">
                  <w:marLeft w:val="115"/>
                  <w:marRight w:val="115"/>
                  <w:marTop w:val="0"/>
                  <w:marBottom w:val="0"/>
                  <w:divBdr>
                    <w:top w:val="none" w:sz="0" w:space="0" w:color="auto"/>
                    <w:left w:val="none" w:sz="0" w:space="0" w:color="auto"/>
                    <w:bottom w:val="none" w:sz="0" w:space="0" w:color="auto"/>
                    <w:right w:val="none" w:sz="0" w:space="0" w:color="auto"/>
                  </w:divBdr>
                  <w:divsChild>
                    <w:div w:id="1404256961">
                      <w:marLeft w:val="0"/>
                      <w:marRight w:val="0"/>
                      <w:marTop w:val="0"/>
                      <w:marBottom w:val="0"/>
                      <w:divBdr>
                        <w:top w:val="none" w:sz="0" w:space="0" w:color="auto"/>
                        <w:left w:val="none" w:sz="0" w:space="0" w:color="auto"/>
                        <w:bottom w:val="none" w:sz="0" w:space="0" w:color="auto"/>
                        <w:right w:val="none" w:sz="0" w:space="0" w:color="auto"/>
                      </w:divBdr>
                      <w:divsChild>
                        <w:div w:id="1370102758">
                          <w:marLeft w:val="115"/>
                          <w:marRight w:val="115"/>
                          <w:marTop w:val="0"/>
                          <w:marBottom w:val="0"/>
                          <w:divBdr>
                            <w:top w:val="none" w:sz="0" w:space="0" w:color="auto"/>
                            <w:left w:val="none" w:sz="0" w:space="0" w:color="auto"/>
                            <w:bottom w:val="none" w:sz="0" w:space="0" w:color="auto"/>
                            <w:right w:val="none" w:sz="0" w:space="0" w:color="auto"/>
                          </w:divBdr>
                          <w:divsChild>
                            <w:div w:id="1462721955">
                              <w:marLeft w:val="0"/>
                              <w:marRight w:val="0"/>
                              <w:marTop w:val="0"/>
                              <w:marBottom w:val="276"/>
                              <w:divBdr>
                                <w:top w:val="none" w:sz="0" w:space="0" w:color="auto"/>
                                <w:left w:val="none" w:sz="0" w:space="0" w:color="auto"/>
                                <w:bottom w:val="dotted" w:sz="4" w:space="14" w:color="CCCCCC"/>
                                <w:right w:val="none" w:sz="0" w:space="0" w:color="auto"/>
                              </w:divBdr>
                              <w:divsChild>
                                <w:div w:id="199579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522118">
      <w:bodyDiv w:val="1"/>
      <w:marLeft w:val="0"/>
      <w:marRight w:val="0"/>
      <w:marTop w:val="0"/>
      <w:marBottom w:val="0"/>
      <w:divBdr>
        <w:top w:val="none" w:sz="0" w:space="0" w:color="auto"/>
        <w:left w:val="none" w:sz="0" w:space="0" w:color="auto"/>
        <w:bottom w:val="none" w:sz="0" w:space="0" w:color="auto"/>
        <w:right w:val="none" w:sz="0" w:space="0" w:color="auto"/>
      </w:divBdr>
      <w:divsChild>
        <w:div w:id="1819498690">
          <w:marLeft w:val="0"/>
          <w:marRight w:val="0"/>
          <w:marTop w:val="0"/>
          <w:marBottom w:val="0"/>
          <w:divBdr>
            <w:top w:val="none" w:sz="0" w:space="0" w:color="auto"/>
            <w:left w:val="none" w:sz="0" w:space="0" w:color="auto"/>
            <w:bottom w:val="none" w:sz="0" w:space="0" w:color="auto"/>
            <w:right w:val="none" w:sz="0" w:space="0" w:color="auto"/>
          </w:divBdr>
          <w:divsChild>
            <w:div w:id="1238630786">
              <w:marLeft w:val="0"/>
              <w:marRight w:val="0"/>
              <w:marTop w:val="0"/>
              <w:marBottom w:val="0"/>
              <w:divBdr>
                <w:top w:val="none" w:sz="0" w:space="0" w:color="auto"/>
                <w:left w:val="none" w:sz="0" w:space="0" w:color="auto"/>
                <w:bottom w:val="none" w:sz="0" w:space="0" w:color="auto"/>
                <w:right w:val="none" w:sz="0" w:space="0" w:color="auto"/>
              </w:divBdr>
              <w:divsChild>
                <w:div w:id="813646070">
                  <w:marLeft w:val="115"/>
                  <w:marRight w:val="115"/>
                  <w:marTop w:val="0"/>
                  <w:marBottom w:val="0"/>
                  <w:divBdr>
                    <w:top w:val="none" w:sz="0" w:space="0" w:color="auto"/>
                    <w:left w:val="none" w:sz="0" w:space="0" w:color="auto"/>
                    <w:bottom w:val="none" w:sz="0" w:space="0" w:color="auto"/>
                    <w:right w:val="none" w:sz="0" w:space="0" w:color="auto"/>
                  </w:divBdr>
                  <w:divsChild>
                    <w:div w:id="1923222096">
                      <w:marLeft w:val="0"/>
                      <w:marRight w:val="0"/>
                      <w:marTop w:val="0"/>
                      <w:marBottom w:val="0"/>
                      <w:divBdr>
                        <w:top w:val="none" w:sz="0" w:space="0" w:color="auto"/>
                        <w:left w:val="none" w:sz="0" w:space="0" w:color="auto"/>
                        <w:bottom w:val="none" w:sz="0" w:space="0" w:color="auto"/>
                        <w:right w:val="none" w:sz="0" w:space="0" w:color="auto"/>
                      </w:divBdr>
                      <w:divsChild>
                        <w:div w:id="1335494142">
                          <w:marLeft w:val="115"/>
                          <w:marRight w:val="115"/>
                          <w:marTop w:val="0"/>
                          <w:marBottom w:val="0"/>
                          <w:divBdr>
                            <w:top w:val="none" w:sz="0" w:space="0" w:color="auto"/>
                            <w:left w:val="none" w:sz="0" w:space="0" w:color="auto"/>
                            <w:bottom w:val="none" w:sz="0" w:space="0" w:color="auto"/>
                            <w:right w:val="none" w:sz="0" w:space="0" w:color="auto"/>
                          </w:divBdr>
                          <w:divsChild>
                            <w:div w:id="1917785905">
                              <w:marLeft w:val="0"/>
                              <w:marRight w:val="0"/>
                              <w:marTop w:val="0"/>
                              <w:marBottom w:val="276"/>
                              <w:divBdr>
                                <w:top w:val="none" w:sz="0" w:space="0" w:color="auto"/>
                                <w:left w:val="none" w:sz="0" w:space="0" w:color="auto"/>
                                <w:bottom w:val="dotted" w:sz="4" w:space="14" w:color="CCCCCC"/>
                                <w:right w:val="none" w:sz="0" w:space="0" w:color="auto"/>
                              </w:divBdr>
                              <w:divsChild>
                                <w:div w:id="1760442111">
                                  <w:marLeft w:val="0"/>
                                  <w:marRight w:val="0"/>
                                  <w:marTop w:val="0"/>
                                  <w:marBottom w:val="0"/>
                                  <w:divBdr>
                                    <w:top w:val="none" w:sz="0" w:space="0" w:color="auto"/>
                                    <w:left w:val="none" w:sz="0" w:space="0" w:color="auto"/>
                                    <w:bottom w:val="none" w:sz="0" w:space="0" w:color="auto"/>
                                    <w:right w:val="none" w:sz="0" w:space="0" w:color="auto"/>
                                  </w:divBdr>
                                  <w:divsChild>
                                    <w:div w:id="2032026050">
                                      <w:marLeft w:val="0"/>
                                      <w:marRight w:val="0"/>
                                      <w:marTop w:val="0"/>
                                      <w:marBottom w:val="0"/>
                                      <w:divBdr>
                                        <w:top w:val="none" w:sz="0" w:space="0" w:color="auto"/>
                                        <w:left w:val="none" w:sz="0" w:space="0" w:color="auto"/>
                                        <w:bottom w:val="none" w:sz="0" w:space="0" w:color="auto"/>
                                        <w:right w:val="none" w:sz="0" w:space="0" w:color="auto"/>
                                      </w:divBdr>
                                    </w:div>
                                    <w:div w:id="37239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760402">
      <w:bodyDiv w:val="1"/>
      <w:marLeft w:val="0"/>
      <w:marRight w:val="0"/>
      <w:marTop w:val="0"/>
      <w:marBottom w:val="0"/>
      <w:divBdr>
        <w:top w:val="none" w:sz="0" w:space="0" w:color="auto"/>
        <w:left w:val="none" w:sz="0" w:space="0" w:color="auto"/>
        <w:bottom w:val="none" w:sz="0" w:space="0" w:color="auto"/>
        <w:right w:val="none" w:sz="0" w:space="0" w:color="auto"/>
      </w:divBdr>
      <w:divsChild>
        <w:div w:id="567228471">
          <w:marLeft w:val="0"/>
          <w:marRight w:val="0"/>
          <w:marTop w:val="0"/>
          <w:marBottom w:val="0"/>
          <w:divBdr>
            <w:top w:val="none" w:sz="0" w:space="0" w:color="auto"/>
            <w:left w:val="none" w:sz="0" w:space="0" w:color="auto"/>
            <w:bottom w:val="none" w:sz="0" w:space="0" w:color="auto"/>
            <w:right w:val="none" w:sz="0" w:space="0" w:color="auto"/>
          </w:divBdr>
          <w:divsChild>
            <w:div w:id="1378359482">
              <w:marLeft w:val="0"/>
              <w:marRight w:val="0"/>
              <w:marTop w:val="0"/>
              <w:marBottom w:val="0"/>
              <w:divBdr>
                <w:top w:val="none" w:sz="0" w:space="0" w:color="auto"/>
                <w:left w:val="none" w:sz="0" w:space="0" w:color="auto"/>
                <w:bottom w:val="none" w:sz="0" w:space="0" w:color="auto"/>
                <w:right w:val="none" w:sz="0" w:space="0" w:color="auto"/>
              </w:divBdr>
              <w:divsChild>
                <w:div w:id="1118917366">
                  <w:marLeft w:val="115"/>
                  <w:marRight w:val="115"/>
                  <w:marTop w:val="0"/>
                  <w:marBottom w:val="0"/>
                  <w:divBdr>
                    <w:top w:val="none" w:sz="0" w:space="0" w:color="auto"/>
                    <w:left w:val="none" w:sz="0" w:space="0" w:color="auto"/>
                    <w:bottom w:val="none" w:sz="0" w:space="0" w:color="auto"/>
                    <w:right w:val="none" w:sz="0" w:space="0" w:color="auto"/>
                  </w:divBdr>
                  <w:divsChild>
                    <w:div w:id="429931172">
                      <w:marLeft w:val="0"/>
                      <w:marRight w:val="0"/>
                      <w:marTop w:val="0"/>
                      <w:marBottom w:val="0"/>
                      <w:divBdr>
                        <w:top w:val="none" w:sz="0" w:space="0" w:color="auto"/>
                        <w:left w:val="none" w:sz="0" w:space="0" w:color="auto"/>
                        <w:bottom w:val="none" w:sz="0" w:space="0" w:color="auto"/>
                        <w:right w:val="none" w:sz="0" w:space="0" w:color="auto"/>
                      </w:divBdr>
                      <w:divsChild>
                        <w:div w:id="913472411">
                          <w:marLeft w:val="115"/>
                          <w:marRight w:val="115"/>
                          <w:marTop w:val="0"/>
                          <w:marBottom w:val="0"/>
                          <w:divBdr>
                            <w:top w:val="none" w:sz="0" w:space="0" w:color="auto"/>
                            <w:left w:val="none" w:sz="0" w:space="0" w:color="auto"/>
                            <w:bottom w:val="none" w:sz="0" w:space="0" w:color="auto"/>
                            <w:right w:val="none" w:sz="0" w:space="0" w:color="auto"/>
                          </w:divBdr>
                          <w:divsChild>
                            <w:div w:id="345249158">
                              <w:marLeft w:val="0"/>
                              <w:marRight w:val="0"/>
                              <w:marTop w:val="0"/>
                              <w:marBottom w:val="276"/>
                              <w:divBdr>
                                <w:top w:val="none" w:sz="0" w:space="0" w:color="auto"/>
                                <w:left w:val="none" w:sz="0" w:space="0" w:color="auto"/>
                                <w:bottom w:val="dotted" w:sz="4" w:space="14" w:color="CCCCCC"/>
                                <w:right w:val="none" w:sz="0" w:space="0" w:color="auto"/>
                              </w:divBdr>
                              <w:divsChild>
                                <w:div w:id="1953243419">
                                  <w:marLeft w:val="0"/>
                                  <w:marRight w:val="0"/>
                                  <w:marTop w:val="0"/>
                                  <w:marBottom w:val="0"/>
                                  <w:divBdr>
                                    <w:top w:val="none" w:sz="0" w:space="0" w:color="auto"/>
                                    <w:left w:val="none" w:sz="0" w:space="0" w:color="auto"/>
                                    <w:bottom w:val="none" w:sz="0" w:space="0" w:color="auto"/>
                                    <w:right w:val="none" w:sz="0" w:space="0" w:color="auto"/>
                                  </w:divBdr>
                                  <w:divsChild>
                                    <w:div w:id="2090535108">
                                      <w:marLeft w:val="0"/>
                                      <w:marRight w:val="0"/>
                                      <w:marTop w:val="0"/>
                                      <w:marBottom w:val="0"/>
                                      <w:divBdr>
                                        <w:top w:val="none" w:sz="0" w:space="0" w:color="auto"/>
                                        <w:left w:val="none" w:sz="0" w:space="0" w:color="auto"/>
                                        <w:bottom w:val="none" w:sz="0" w:space="0" w:color="auto"/>
                                        <w:right w:val="none" w:sz="0" w:space="0" w:color="auto"/>
                                      </w:divBdr>
                                    </w:div>
                                    <w:div w:id="144330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785195">
      <w:bodyDiv w:val="1"/>
      <w:marLeft w:val="0"/>
      <w:marRight w:val="0"/>
      <w:marTop w:val="0"/>
      <w:marBottom w:val="0"/>
      <w:divBdr>
        <w:top w:val="none" w:sz="0" w:space="0" w:color="auto"/>
        <w:left w:val="none" w:sz="0" w:space="0" w:color="auto"/>
        <w:bottom w:val="none" w:sz="0" w:space="0" w:color="auto"/>
        <w:right w:val="none" w:sz="0" w:space="0" w:color="auto"/>
      </w:divBdr>
      <w:divsChild>
        <w:div w:id="142893865">
          <w:marLeft w:val="0"/>
          <w:marRight w:val="0"/>
          <w:marTop w:val="0"/>
          <w:marBottom w:val="0"/>
          <w:divBdr>
            <w:top w:val="none" w:sz="0" w:space="0" w:color="auto"/>
            <w:left w:val="none" w:sz="0" w:space="0" w:color="auto"/>
            <w:bottom w:val="none" w:sz="0" w:space="0" w:color="auto"/>
            <w:right w:val="none" w:sz="0" w:space="0" w:color="auto"/>
          </w:divBdr>
          <w:divsChild>
            <w:div w:id="1743722274">
              <w:marLeft w:val="0"/>
              <w:marRight w:val="0"/>
              <w:marTop w:val="0"/>
              <w:marBottom w:val="0"/>
              <w:divBdr>
                <w:top w:val="none" w:sz="0" w:space="0" w:color="auto"/>
                <w:left w:val="none" w:sz="0" w:space="0" w:color="auto"/>
                <w:bottom w:val="none" w:sz="0" w:space="0" w:color="auto"/>
                <w:right w:val="none" w:sz="0" w:space="0" w:color="auto"/>
              </w:divBdr>
              <w:divsChild>
                <w:div w:id="2027631125">
                  <w:marLeft w:val="115"/>
                  <w:marRight w:val="115"/>
                  <w:marTop w:val="0"/>
                  <w:marBottom w:val="0"/>
                  <w:divBdr>
                    <w:top w:val="none" w:sz="0" w:space="0" w:color="auto"/>
                    <w:left w:val="none" w:sz="0" w:space="0" w:color="auto"/>
                    <w:bottom w:val="none" w:sz="0" w:space="0" w:color="auto"/>
                    <w:right w:val="none" w:sz="0" w:space="0" w:color="auto"/>
                  </w:divBdr>
                  <w:divsChild>
                    <w:div w:id="1124538503">
                      <w:marLeft w:val="0"/>
                      <w:marRight w:val="0"/>
                      <w:marTop w:val="0"/>
                      <w:marBottom w:val="0"/>
                      <w:divBdr>
                        <w:top w:val="none" w:sz="0" w:space="0" w:color="auto"/>
                        <w:left w:val="none" w:sz="0" w:space="0" w:color="auto"/>
                        <w:bottom w:val="none" w:sz="0" w:space="0" w:color="auto"/>
                        <w:right w:val="none" w:sz="0" w:space="0" w:color="auto"/>
                      </w:divBdr>
                      <w:divsChild>
                        <w:div w:id="414086307">
                          <w:marLeft w:val="115"/>
                          <w:marRight w:val="115"/>
                          <w:marTop w:val="0"/>
                          <w:marBottom w:val="0"/>
                          <w:divBdr>
                            <w:top w:val="none" w:sz="0" w:space="0" w:color="auto"/>
                            <w:left w:val="none" w:sz="0" w:space="0" w:color="auto"/>
                            <w:bottom w:val="none" w:sz="0" w:space="0" w:color="auto"/>
                            <w:right w:val="none" w:sz="0" w:space="0" w:color="auto"/>
                          </w:divBdr>
                          <w:divsChild>
                            <w:div w:id="1539313309">
                              <w:marLeft w:val="0"/>
                              <w:marRight w:val="0"/>
                              <w:marTop w:val="0"/>
                              <w:marBottom w:val="276"/>
                              <w:divBdr>
                                <w:top w:val="none" w:sz="0" w:space="0" w:color="auto"/>
                                <w:left w:val="none" w:sz="0" w:space="0" w:color="auto"/>
                                <w:bottom w:val="dotted" w:sz="4" w:space="14" w:color="CCCCCC"/>
                                <w:right w:val="none" w:sz="0" w:space="0" w:color="auto"/>
                              </w:divBdr>
                              <w:divsChild>
                                <w:div w:id="162846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405202">
      <w:bodyDiv w:val="1"/>
      <w:marLeft w:val="0"/>
      <w:marRight w:val="0"/>
      <w:marTop w:val="0"/>
      <w:marBottom w:val="0"/>
      <w:divBdr>
        <w:top w:val="none" w:sz="0" w:space="0" w:color="auto"/>
        <w:left w:val="none" w:sz="0" w:space="0" w:color="auto"/>
        <w:bottom w:val="none" w:sz="0" w:space="0" w:color="auto"/>
        <w:right w:val="none" w:sz="0" w:space="0" w:color="auto"/>
      </w:divBdr>
      <w:divsChild>
        <w:div w:id="158816804">
          <w:marLeft w:val="0"/>
          <w:marRight w:val="0"/>
          <w:marTop w:val="0"/>
          <w:marBottom w:val="0"/>
          <w:divBdr>
            <w:top w:val="none" w:sz="0" w:space="0" w:color="auto"/>
            <w:left w:val="none" w:sz="0" w:space="0" w:color="auto"/>
            <w:bottom w:val="none" w:sz="0" w:space="0" w:color="auto"/>
            <w:right w:val="none" w:sz="0" w:space="0" w:color="auto"/>
          </w:divBdr>
          <w:divsChild>
            <w:div w:id="653148522">
              <w:marLeft w:val="0"/>
              <w:marRight w:val="0"/>
              <w:marTop w:val="0"/>
              <w:marBottom w:val="0"/>
              <w:divBdr>
                <w:top w:val="none" w:sz="0" w:space="0" w:color="auto"/>
                <w:left w:val="none" w:sz="0" w:space="0" w:color="auto"/>
                <w:bottom w:val="none" w:sz="0" w:space="0" w:color="auto"/>
                <w:right w:val="none" w:sz="0" w:space="0" w:color="auto"/>
              </w:divBdr>
              <w:divsChild>
                <w:div w:id="1664550626">
                  <w:marLeft w:val="115"/>
                  <w:marRight w:val="115"/>
                  <w:marTop w:val="0"/>
                  <w:marBottom w:val="0"/>
                  <w:divBdr>
                    <w:top w:val="none" w:sz="0" w:space="0" w:color="auto"/>
                    <w:left w:val="none" w:sz="0" w:space="0" w:color="auto"/>
                    <w:bottom w:val="none" w:sz="0" w:space="0" w:color="auto"/>
                    <w:right w:val="none" w:sz="0" w:space="0" w:color="auto"/>
                  </w:divBdr>
                  <w:divsChild>
                    <w:div w:id="1280645731">
                      <w:marLeft w:val="0"/>
                      <w:marRight w:val="0"/>
                      <w:marTop w:val="0"/>
                      <w:marBottom w:val="0"/>
                      <w:divBdr>
                        <w:top w:val="none" w:sz="0" w:space="0" w:color="auto"/>
                        <w:left w:val="none" w:sz="0" w:space="0" w:color="auto"/>
                        <w:bottom w:val="none" w:sz="0" w:space="0" w:color="auto"/>
                        <w:right w:val="none" w:sz="0" w:space="0" w:color="auto"/>
                      </w:divBdr>
                      <w:divsChild>
                        <w:div w:id="1532184906">
                          <w:marLeft w:val="115"/>
                          <w:marRight w:val="115"/>
                          <w:marTop w:val="0"/>
                          <w:marBottom w:val="0"/>
                          <w:divBdr>
                            <w:top w:val="none" w:sz="0" w:space="0" w:color="auto"/>
                            <w:left w:val="none" w:sz="0" w:space="0" w:color="auto"/>
                            <w:bottom w:val="none" w:sz="0" w:space="0" w:color="auto"/>
                            <w:right w:val="none" w:sz="0" w:space="0" w:color="auto"/>
                          </w:divBdr>
                          <w:divsChild>
                            <w:div w:id="964040855">
                              <w:marLeft w:val="0"/>
                              <w:marRight w:val="0"/>
                              <w:marTop w:val="0"/>
                              <w:marBottom w:val="276"/>
                              <w:divBdr>
                                <w:top w:val="none" w:sz="0" w:space="0" w:color="auto"/>
                                <w:left w:val="none" w:sz="0" w:space="0" w:color="auto"/>
                                <w:bottom w:val="dotted" w:sz="4" w:space="14" w:color="CCCCCC"/>
                                <w:right w:val="none" w:sz="0" w:space="0" w:color="auto"/>
                              </w:divBdr>
                              <w:divsChild>
                                <w:div w:id="121766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5442772">
      <w:bodyDiv w:val="1"/>
      <w:marLeft w:val="0"/>
      <w:marRight w:val="0"/>
      <w:marTop w:val="0"/>
      <w:marBottom w:val="0"/>
      <w:divBdr>
        <w:top w:val="none" w:sz="0" w:space="0" w:color="auto"/>
        <w:left w:val="none" w:sz="0" w:space="0" w:color="auto"/>
        <w:bottom w:val="none" w:sz="0" w:space="0" w:color="auto"/>
        <w:right w:val="none" w:sz="0" w:space="0" w:color="auto"/>
      </w:divBdr>
      <w:divsChild>
        <w:div w:id="1720468887">
          <w:marLeft w:val="0"/>
          <w:marRight w:val="0"/>
          <w:marTop w:val="0"/>
          <w:marBottom w:val="0"/>
          <w:divBdr>
            <w:top w:val="none" w:sz="0" w:space="0" w:color="auto"/>
            <w:left w:val="none" w:sz="0" w:space="0" w:color="auto"/>
            <w:bottom w:val="none" w:sz="0" w:space="0" w:color="auto"/>
            <w:right w:val="none" w:sz="0" w:space="0" w:color="auto"/>
          </w:divBdr>
          <w:divsChild>
            <w:div w:id="1574927608">
              <w:marLeft w:val="0"/>
              <w:marRight w:val="0"/>
              <w:marTop w:val="0"/>
              <w:marBottom w:val="0"/>
              <w:divBdr>
                <w:top w:val="none" w:sz="0" w:space="0" w:color="auto"/>
                <w:left w:val="none" w:sz="0" w:space="0" w:color="auto"/>
                <w:bottom w:val="none" w:sz="0" w:space="0" w:color="auto"/>
                <w:right w:val="none" w:sz="0" w:space="0" w:color="auto"/>
              </w:divBdr>
              <w:divsChild>
                <w:div w:id="620650742">
                  <w:marLeft w:val="115"/>
                  <w:marRight w:val="115"/>
                  <w:marTop w:val="0"/>
                  <w:marBottom w:val="0"/>
                  <w:divBdr>
                    <w:top w:val="none" w:sz="0" w:space="0" w:color="auto"/>
                    <w:left w:val="none" w:sz="0" w:space="0" w:color="auto"/>
                    <w:bottom w:val="none" w:sz="0" w:space="0" w:color="auto"/>
                    <w:right w:val="none" w:sz="0" w:space="0" w:color="auto"/>
                  </w:divBdr>
                  <w:divsChild>
                    <w:div w:id="964773253">
                      <w:marLeft w:val="0"/>
                      <w:marRight w:val="0"/>
                      <w:marTop w:val="0"/>
                      <w:marBottom w:val="0"/>
                      <w:divBdr>
                        <w:top w:val="none" w:sz="0" w:space="0" w:color="auto"/>
                        <w:left w:val="none" w:sz="0" w:space="0" w:color="auto"/>
                        <w:bottom w:val="none" w:sz="0" w:space="0" w:color="auto"/>
                        <w:right w:val="none" w:sz="0" w:space="0" w:color="auto"/>
                      </w:divBdr>
                      <w:divsChild>
                        <w:div w:id="167646514">
                          <w:marLeft w:val="115"/>
                          <w:marRight w:val="115"/>
                          <w:marTop w:val="0"/>
                          <w:marBottom w:val="0"/>
                          <w:divBdr>
                            <w:top w:val="none" w:sz="0" w:space="0" w:color="auto"/>
                            <w:left w:val="none" w:sz="0" w:space="0" w:color="auto"/>
                            <w:bottom w:val="none" w:sz="0" w:space="0" w:color="auto"/>
                            <w:right w:val="none" w:sz="0" w:space="0" w:color="auto"/>
                          </w:divBdr>
                          <w:divsChild>
                            <w:div w:id="1850558976">
                              <w:marLeft w:val="0"/>
                              <w:marRight w:val="0"/>
                              <w:marTop w:val="0"/>
                              <w:marBottom w:val="276"/>
                              <w:divBdr>
                                <w:top w:val="none" w:sz="0" w:space="0" w:color="auto"/>
                                <w:left w:val="none" w:sz="0" w:space="0" w:color="auto"/>
                                <w:bottom w:val="dotted" w:sz="4" w:space="14" w:color="CCCCCC"/>
                                <w:right w:val="none" w:sz="0" w:space="0" w:color="auto"/>
                              </w:divBdr>
                              <w:divsChild>
                                <w:div w:id="593901935">
                                  <w:marLeft w:val="0"/>
                                  <w:marRight w:val="0"/>
                                  <w:marTop w:val="0"/>
                                  <w:marBottom w:val="0"/>
                                  <w:divBdr>
                                    <w:top w:val="none" w:sz="0" w:space="0" w:color="auto"/>
                                    <w:left w:val="none" w:sz="0" w:space="0" w:color="auto"/>
                                    <w:bottom w:val="none" w:sz="0" w:space="0" w:color="auto"/>
                                    <w:right w:val="none" w:sz="0" w:space="0" w:color="auto"/>
                                  </w:divBdr>
                                  <w:divsChild>
                                    <w:div w:id="2132818938">
                                      <w:marLeft w:val="0"/>
                                      <w:marRight w:val="0"/>
                                      <w:marTop w:val="0"/>
                                      <w:marBottom w:val="0"/>
                                      <w:divBdr>
                                        <w:top w:val="none" w:sz="0" w:space="0" w:color="auto"/>
                                        <w:left w:val="none" w:sz="0" w:space="0" w:color="auto"/>
                                        <w:bottom w:val="none" w:sz="0" w:space="0" w:color="auto"/>
                                        <w:right w:val="none" w:sz="0" w:space="0" w:color="auto"/>
                                      </w:divBdr>
                                    </w:div>
                                    <w:div w:id="70595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999270">
      <w:bodyDiv w:val="1"/>
      <w:marLeft w:val="0"/>
      <w:marRight w:val="0"/>
      <w:marTop w:val="0"/>
      <w:marBottom w:val="0"/>
      <w:divBdr>
        <w:top w:val="none" w:sz="0" w:space="0" w:color="auto"/>
        <w:left w:val="none" w:sz="0" w:space="0" w:color="auto"/>
        <w:bottom w:val="none" w:sz="0" w:space="0" w:color="auto"/>
        <w:right w:val="none" w:sz="0" w:space="0" w:color="auto"/>
      </w:divBdr>
      <w:divsChild>
        <w:div w:id="939222435">
          <w:marLeft w:val="0"/>
          <w:marRight w:val="0"/>
          <w:marTop w:val="0"/>
          <w:marBottom w:val="0"/>
          <w:divBdr>
            <w:top w:val="none" w:sz="0" w:space="0" w:color="auto"/>
            <w:left w:val="none" w:sz="0" w:space="0" w:color="auto"/>
            <w:bottom w:val="none" w:sz="0" w:space="0" w:color="auto"/>
            <w:right w:val="none" w:sz="0" w:space="0" w:color="auto"/>
          </w:divBdr>
          <w:divsChild>
            <w:div w:id="1352561303">
              <w:marLeft w:val="0"/>
              <w:marRight w:val="0"/>
              <w:marTop w:val="0"/>
              <w:marBottom w:val="0"/>
              <w:divBdr>
                <w:top w:val="none" w:sz="0" w:space="0" w:color="auto"/>
                <w:left w:val="none" w:sz="0" w:space="0" w:color="auto"/>
                <w:bottom w:val="none" w:sz="0" w:space="0" w:color="auto"/>
                <w:right w:val="none" w:sz="0" w:space="0" w:color="auto"/>
              </w:divBdr>
              <w:divsChild>
                <w:div w:id="1831673994">
                  <w:marLeft w:val="115"/>
                  <w:marRight w:val="115"/>
                  <w:marTop w:val="0"/>
                  <w:marBottom w:val="0"/>
                  <w:divBdr>
                    <w:top w:val="none" w:sz="0" w:space="0" w:color="auto"/>
                    <w:left w:val="none" w:sz="0" w:space="0" w:color="auto"/>
                    <w:bottom w:val="none" w:sz="0" w:space="0" w:color="auto"/>
                    <w:right w:val="none" w:sz="0" w:space="0" w:color="auto"/>
                  </w:divBdr>
                  <w:divsChild>
                    <w:div w:id="118882537">
                      <w:marLeft w:val="0"/>
                      <w:marRight w:val="0"/>
                      <w:marTop w:val="0"/>
                      <w:marBottom w:val="0"/>
                      <w:divBdr>
                        <w:top w:val="none" w:sz="0" w:space="0" w:color="auto"/>
                        <w:left w:val="none" w:sz="0" w:space="0" w:color="auto"/>
                        <w:bottom w:val="none" w:sz="0" w:space="0" w:color="auto"/>
                        <w:right w:val="none" w:sz="0" w:space="0" w:color="auto"/>
                      </w:divBdr>
                      <w:divsChild>
                        <w:div w:id="1307011550">
                          <w:marLeft w:val="115"/>
                          <w:marRight w:val="115"/>
                          <w:marTop w:val="0"/>
                          <w:marBottom w:val="0"/>
                          <w:divBdr>
                            <w:top w:val="none" w:sz="0" w:space="0" w:color="auto"/>
                            <w:left w:val="none" w:sz="0" w:space="0" w:color="auto"/>
                            <w:bottom w:val="none" w:sz="0" w:space="0" w:color="auto"/>
                            <w:right w:val="none" w:sz="0" w:space="0" w:color="auto"/>
                          </w:divBdr>
                          <w:divsChild>
                            <w:div w:id="383214334">
                              <w:marLeft w:val="0"/>
                              <w:marRight w:val="0"/>
                              <w:marTop w:val="0"/>
                              <w:marBottom w:val="276"/>
                              <w:divBdr>
                                <w:top w:val="none" w:sz="0" w:space="0" w:color="auto"/>
                                <w:left w:val="none" w:sz="0" w:space="0" w:color="auto"/>
                                <w:bottom w:val="dotted" w:sz="4" w:space="14" w:color="CCCCCC"/>
                                <w:right w:val="none" w:sz="0" w:space="0" w:color="auto"/>
                              </w:divBdr>
                              <w:divsChild>
                                <w:div w:id="730227689">
                                  <w:marLeft w:val="0"/>
                                  <w:marRight w:val="0"/>
                                  <w:marTop w:val="0"/>
                                  <w:marBottom w:val="0"/>
                                  <w:divBdr>
                                    <w:top w:val="none" w:sz="0" w:space="0" w:color="auto"/>
                                    <w:left w:val="none" w:sz="0" w:space="0" w:color="auto"/>
                                    <w:bottom w:val="none" w:sz="0" w:space="0" w:color="auto"/>
                                    <w:right w:val="none" w:sz="0" w:space="0" w:color="auto"/>
                                  </w:divBdr>
                                  <w:divsChild>
                                    <w:div w:id="1671760006">
                                      <w:marLeft w:val="0"/>
                                      <w:marRight w:val="0"/>
                                      <w:marTop w:val="0"/>
                                      <w:marBottom w:val="0"/>
                                      <w:divBdr>
                                        <w:top w:val="none" w:sz="0" w:space="0" w:color="auto"/>
                                        <w:left w:val="none" w:sz="0" w:space="0" w:color="auto"/>
                                        <w:bottom w:val="none" w:sz="0" w:space="0" w:color="auto"/>
                                        <w:right w:val="none" w:sz="0" w:space="0" w:color="auto"/>
                                      </w:divBdr>
                                    </w:div>
                                    <w:div w:id="197429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4248066">
      <w:bodyDiv w:val="1"/>
      <w:marLeft w:val="0"/>
      <w:marRight w:val="0"/>
      <w:marTop w:val="0"/>
      <w:marBottom w:val="0"/>
      <w:divBdr>
        <w:top w:val="none" w:sz="0" w:space="0" w:color="auto"/>
        <w:left w:val="none" w:sz="0" w:space="0" w:color="auto"/>
        <w:bottom w:val="none" w:sz="0" w:space="0" w:color="auto"/>
        <w:right w:val="none" w:sz="0" w:space="0" w:color="auto"/>
      </w:divBdr>
      <w:divsChild>
        <w:div w:id="237986678">
          <w:marLeft w:val="0"/>
          <w:marRight w:val="0"/>
          <w:marTop w:val="0"/>
          <w:marBottom w:val="0"/>
          <w:divBdr>
            <w:top w:val="none" w:sz="0" w:space="0" w:color="auto"/>
            <w:left w:val="none" w:sz="0" w:space="0" w:color="auto"/>
            <w:bottom w:val="none" w:sz="0" w:space="0" w:color="auto"/>
            <w:right w:val="none" w:sz="0" w:space="0" w:color="auto"/>
          </w:divBdr>
          <w:divsChild>
            <w:div w:id="1729841971">
              <w:marLeft w:val="0"/>
              <w:marRight w:val="0"/>
              <w:marTop w:val="0"/>
              <w:marBottom w:val="0"/>
              <w:divBdr>
                <w:top w:val="none" w:sz="0" w:space="0" w:color="auto"/>
                <w:left w:val="none" w:sz="0" w:space="0" w:color="auto"/>
                <w:bottom w:val="none" w:sz="0" w:space="0" w:color="auto"/>
                <w:right w:val="none" w:sz="0" w:space="0" w:color="auto"/>
              </w:divBdr>
              <w:divsChild>
                <w:div w:id="1037387677">
                  <w:marLeft w:val="115"/>
                  <w:marRight w:val="115"/>
                  <w:marTop w:val="0"/>
                  <w:marBottom w:val="0"/>
                  <w:divBdr>
                    <w:top w:val="none" w:sz="0" w:space="0" w:color="auto"/>
                    <w:left w:val="none" w:sz="0" w:space="0" w:color="auto"/>
                    <w:bottom w:val="none" w:sz="0" w:space="0" w:color="auto"/>
                    <w:right w:val="none" w:sz="0" w:space="0" w:color="auto"/>
                  </w:divBdr>
                  <w:divsChild>
                    <w:div w:id="781264433">
                      <w:marLeft w:val="0"/>
                      <w:marRight w:val="0"/>
                      <w:marTop w:val="0"/>
                      <w:marBottom w:val="0"/>
                      <w:divBdr>
                        <w:top w:val="none" w:sz="0" w:space="0" w:color="auto"/>
                        <w:left w:val="none" w:sz="0" w:space="0" w:color="auto"/>
                        <w:bottom w:val="none" w:sz="0" w:space="0" w:color="auto"/>
                        <w:right w:val="none" w:sz="0" w:space="0" w:color="auto"/>
                      </w:divBdr>
                      <w:divsChild>
                        <w:div w:id="439909993">
                          <w:marLeft w:val="115"/>
                          <w:marRight w:val="115"/>
                          <w:marTop w:val="0"/>
                          <w:marBottom w:val="0"/>
                          <w:divBdr>
                            <w:top w:val="none" w:sz="0" w:space="0" w:color="auto"/>
                            <w:left w:val="none" w:sz="0" w:space="0" w:color="auto"/>
                            <w:bottom w:val="none" w:sz="0" w:space="0" w:color="auto"/>
                            <w:right w:val="none" w:sz="0" w:space="0" w:color="auto"/>
                          </w:divBdr>
                          <w:divsChild>
                            <w:div w:id="1563057880">
                              <w:marLeft w:val="0"/>
                              <w:marRight w:val="0"/>
                              <w:marTop w:val="0"/>
                              <w:marBottom w:val="276"/>
                              <w:divBdr>
                                <w:top w:val="none" w:sz="0" w:space="0" w:color="auto"/>
                                <w:left w:val="none" w:sz="0" w:space="0" w:color="auto"/>
                                <w:bottom w:val="dotted" w:sz="4" w:space="14" w:color="CCCCCC"/>
                                <w:right w:val="none" w:sz="0" w:space="0" w:color="auto"/>
                              </w:divBdr>
                              <w:divsChild>
                                <w:div w:id="1354190095">
                                  <w:marLeft w:val="0"/>
                                  <w:marRight w:val="0"/>
                                  <w:marTop w:val="0"/>
                                  <w:marBottom w:val="0"/>
                                  <w:divBdr>
                                    <w:top w:val="none" w:sz="0" w:space="0" w:color="auto"/>
                                    <w:left w:val="none" w:sz="0" w:space="0" w:color="auto"/>
                                    <w:bottom w:val="none" w:sz="0" w:space="0" w:color="auto"/>
                                    <w:right w:val="none" w:sz="0" w:space="0" w:color="auto"/>
                                  </w:divBdr>
                                  <w:divsChild>
                                    <w:div w:id="1877691094">
                                      <w:marLeft w:val="0"/>
                                      <w:marRight w:val="0"/>
                                      <w:marTop w:val="0"/>
                                      <w:marBottom w:val="0"/>
                                      <w:divBdr>
                                        <w:top w:val="none" w:sz="0" w:space="0" w:color="auto"/>
                                        <w:left w:val="none" w:sz="0" w:space="0" w:color="auto"/>
                                        <w:bottom w:val="none" w:sz="0" w:space="0" w:color="auto"/>
                                        <w:right w:val="none" w:sz="0" w:space="0" w:color="auto"/>
                                      </w:divBdr>
                                    </w:div>
                                    <w:div w:id="87026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903508">
      <w:bodyDiv w:val="1"/>
      <w:marLeft w:val="0"/>
      <w:marRight w:val="0"/>
      <w:marTop w:val="0"/>
      <w:marBottom w:val="0"/>
      <w:divBdr>
        <w:top w:val="none" w:sz="0" w:space="0" w:color="auto"/>
        <w:left w:val="none" w:sz="0" w:space="0" w:color="auto"/>
        <w:bottom w:val="none" w:sz="0" w:space="0" w:color="auto"/>
        <w:right w:val="none" w:sz="0" w:space="0" w:color="auto"/>
      </w:divBdr>
      <w:divsChild>
        <w:div w:id="1764302221">
          <w:marLeft w:val="0"/>
          <w:marRight w:val="0"/>
          <w:marTop w:val="0"/>
          <w:marBottom w:val="0"/>
          <w:divBdr>
            <w:top w:val="none" w:sz="0" w:space="0" w:color="auto"/>
            <w:left w:val="none" w:sz="0" w:space="0" w:color="auto"/>
            <w:bottom w:val="none" w:sz="0" w:space="0" w:color="auto"/>
            <w:right w:val="none" w:sz="0" w:space="0" w:color="auto"/>
          </w:divBdr>
          <w:divsChild>
            <w:div w:id="1658606030">
              <w:marLeft w:val="0"/>
              <w:marRight w:val="0"/>
              <w:marTop w:val="0"/>
              <w:marBottom w:val="0"/>
              <w:divBdr>
                <w:top w:val="none" w:sz="0" w:space="0" w:color="auto"/>
                <w:left w:val="none" w:sz="0" w:space="0" w:color="auto"/>
                <w:bottom w:val="none" w:sz="0" w:space="0" w:color="auto"/>
                <w:right w:val="none" w:sz="0" w:space="0" w:color="auto"/>
              </w:divBdr>
              <w:divsChild>
                <w:div w:id="460654218">
                  <w:marLeft w:val="115"/>
                  <w:marRight w:val="115"/>
                  <w:marTop w:val="0"/>
                  <w:marBottom w:val="0"/>
                  <w:divBdr>
                    <w:top w:val="none" w:sz="0" w:space="0" w:color="auto"/>
                    <w:left w:val="none" w:sz="0" w:space="0" w:color="auto"/>
                    <w:bottom w:val="none" w:sz="0" w:space="0" w:color="auto"/>
                    <w:right w:val="none" w:sz="0" w:space="0" w:color="auto"/>
                  </w:divBdr>
                  <w:divsChild>
                    <w:div w:id="943000110">
                      <w:marLeft w:val="0"/>
                      <w:marRight w:val="0"/>
                      <w:marTop w:val="0"/>
                      <w:marBottom w:val="0"/>
                      <w:divBdr>
                        <w:top w:val="none" w:sz="0" w:space="0" w:color="auto"/>
                        <w:left w:val="none" w:sz="0" w:space="0" w:color="auto"/>
                        <w:bottom w:val="none" w:sz="0" w:space="0" w:color="auto"/>
                        <w:right w:val="none" w:sz="0" w:space="0" w:color="auto"/>
                      </w:divBdr>
                      <w:divsChild>
                        <w:div w:id="800726500">
                          <w:marLeft w:val="115"/>
                          <w:marRight w:val="115"/>
                          <w:marTop w:val="0"/>
                          <w:marBottom w:val="0"/>
                          <w:divBdr>
                            <w:top w:val="none" w:sz="0" w:space="0" w:color="auto"/>
                            <w:left w:val="none" w:sz="0" w:space="0" w:color="auto"/>
                            <w:bottom w:val="none" w:sz="0" w:space="0" w:color="auto"/>
                            <w:right w:val="none" w:sz="0" w:space="0" w:color="auto"/>
                          </w:divBdr>
                          <w:divsChild>
                            <w:div w:id="143007797">
                              <w:marLeft w:val="0"/>
                              <w:marRight w:val="0"/>
                              <w:marTop w:val="0"/>
                              <w:marBottom w:val="276"/>
                              <w:divBdr>
                                <w:top w:val="none" w:sz="0" w:space="0" w:color="auto"/>
                                <w:left w:val="none" w:sz="0" w:space="0" w:color="auto"/>
                                <w:bottom w:val="dotted" w:sz="4" w:space="14" w:color="CCCCCC"/>
                                <w:right w:val="none" w:sz="0" w:space="0" w:color="auto"/>
                              </w:divBdr>
                              <w:divsChild>
                                <w:div w:id="159751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303071">
      <w:bodyDiv w:val="1"/>
      <w:marLeft w:val="0"/>
      <w:marRight w:val="0"/>
      <w:marTop w:val="0"/>
      <w:marBottom w:val="0"/>
      <w:divBdr>
        <w:top w:val="none" w:sz="0" w:space="0" w:color="auto"/>
        <w:left w:val="none" w:sz="0" w:space="0" w:color="auto"/>
        <w:bottom w:val="none" w:sz="0" w:space="0" w:color="auto"/>
        <w:right w:val="none" w:sz="0" w:space="0" w:color="auto"/>
      </w:divBdr>
      <w:divsChild>
        <w:div w:id="788550433">
          <w:marLeft w:val="0"/>
          <w:marRight w:val="0"/>
          <w:marTop w:val="0"/>
          <w:marBottom w:val="0"/>
          <w:divBdr>
            <w:top w:val="none" w:sz="0" w:space="0" w:color="auto"/>
            <w:left w:val="none" w:sz="0" w:space="0" w:color="auto"/>
            <w:bottom w:val="none" w:sz="0" w:space="0" w:color="auto"/>
            <w:right w:val="none" w:sz="0" w:space="0" w:color="auto"/>
          </w:divBdr>
          <w:divsChild>
            <w:div w:id="786891664">
              <w:marLeft w:val="0"/>
              <w:marRight w:val="0"/>
              <w:marTop w:val="0"/>
              <w:marBottom w:val="0"/>
              <w:divBdr>
                <w:top w:val="none" w:sz="0" w:space="0" w:color="auto"/>
                <w:left w:val="none" w:sz="0" w:space="0" w:color="auto"/>
                <w:bottom w:val="none" w:sz="0" w:space="0" w:color="auto"/>
                <w:right w:val="none" w:sz="0" w:space="0" w:color="auto"/>
              </w:divBdr>
              <w:divsChild>
                <w:div w:id="594094598">
                  <w:marLeft w:val="115"/>
                  <w:marRight w:val="115"/>
                  <w:marTop w:val="0"/>
                  <w:marBottom w:val="0"/>
                  <w:divBdr>
                    <w:top w:val="none" w:sz="0" w:space="0" w:color="auto"/>
                    <w:left w:val="none" w:sz="0" w:space="0" w:color="auto"/>
                    <w:bottom w:val="none" w:sz="0" w:space="0" w:color="auto"/>
                    <w:right w:val="none" w:sz="0" w:space="0" w:color="auto"/>
                  </w:divBdr>
                  <w:divsChild>
                    <w:div w:id="1677612205">
                      <w:marLeft w:val="0"/>
                      <w:marRight w:val="0"/>
                      <w:marTop w:val="0"/>
                      <w:marBottom w:val="0"/>
                      <w:divBdr>
                        <w:top w:val="none" w:sz="0" w:space="0" w:color="auto"/>
                        <w:left w:val="none" w:sz="0" w:space="0" w:color="auto"/>
                        <w:bottom w:val="none" w:sz="0" w:space="0" w:color="auto"/>
                        <w:right w:val="none" w:sz="0" w:space="0" w:color="auto"/>
                      </w:divBdr>
                      <w:divsChild>
                        <w:div w:id="1158154113">
                          <w:marLeft w:val="115"/>
                          <w:marRight w:val="115"/>
                          <w:marTop w:val="0"/>
                          <w:marBottom w:val="0"/>
                          <w:divBdr>
                            <w:top w:val="none" w:sz="0" w:space="0" w:color="auto"/>
                            <w:left w:val="none" w:sz="0" w:space="0" w:color="auto"/>
                            <w:bottom w:val="none" w:sz="0" w:space="0" w:color="auto"/>
                            <w:right w:val="none" w:sz="0" w:space="0" w:color="auto"/>
                          </w:divBdr>
                          <w:divsChild>
                            <w:div w:id="1084450501">
                              <w:marLeft w:val="0"/>
                              <w:marRight w:val="0"/>
                              <w:marTop w:val="0"/>
                              <w:marBottom w:val="276"/>
                              <w:divBdr>
                                <w:top w:val="none" w:sz="0" w:space="0" w:color="auto"/>
                                <w:left w:val="none" w:sz="0" w:space="0" w:color="auto"/>
                                <w:bottom w:val="dotted" w:sz="4" w:space="14" w:color="CCCCCC"/>
                                <w:right w:val="none" w:sz="0" w:space="0" w:color="auto"/>
                              </w:divBdr>
                              <w:divsChild>
                                <w:div w:id="1241328121">
                                  <w:marLeft w:val="0"/>
                                  <w:marRight w:val="0"/>
                                  <w:marTop w:val="0"/>
                                  <w:marBottom w:val="0"/>
                                  <w:divBdr>
                                    <w:top w:val="none" w:sz="0" w:space="0" w:color="auto"/>
                                    <w:left w:val="none" w:sz="0" w:space="0" w:color="auto"/>
                                    <w:bottom w:val="none" w:sz="0" w:space="0" w:color="auto"/>
                                    <w:right w:val="none" w:sz="0" w:space="0" w:color="auto"/>
                                  </w:divBdr>
                                  <w:divsChild>
                                    <w:div w:id="1879854022">
                                      <w:marLeft w:val="0"/>
                                      <w:marRight w:val="0"/>
                                      <w:marTop w:val="0"/>
                                      <w:marBottom w:val="0"/>
                                      <w:divBdr>
                                        <w:top w:val="none" w:sz="0" w:space="0" w:color="auto"/>
                                        <w:left w:val="none" w:sz="0" w:space="0" w:color="auto"/>
                                        <w:bottom w:val="none" w:sz="0" w:space="0" w:color="auto"/>
                                        <w:right w:val="none" w:sz="0" w:space="0" w:color="auto"/>
                                      </w:divBdr>
                                    </w:div>
                                    <w:div w:id="89184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496261">
      <w:bodyDiv w:val="1"/>
      <w:marLeft w:val="0"/>
      <w:marRight w:val="0"/>
      <w:marTop w:val="0"/>
      <w:marBottom w:val="0"/>
      <w:divBdr>
        <w:top w:val="none" w:sz="0" w:space="0" w:color="auto"/>
        <w:left w:val="none" w:sz="0" w:space="0" w:color="auto"/>
        <w:bottom w:val="none" w:sz="0" w:space="0" w:color="auto"/>
        <w:right w:val="none" w:sz="0" w:space="0" w:color="auto"/>
      </w:divBdr>
      <w:divsChild>
        <w:div w:id="94061057">
          <w:marLeft w:val="0"/>
          <w:marRight w:val="0"/>
          <w:marTop w:val="0"/>
          <w:marBottom w:val="0"/>
          <w:divBdr>
            <w:top w:val="none" w:sz="0" w:space="0" w:color="auto"/>
            <w:left w:val="none" w:sz="0" w:space="0" w:color="auto"/>
            <w:bottom w:val="none" w:sz="0" w:space="0" w:color="auto"/>
            <w:right w:val="none" w:sz="0" w:space="0" w:color="auto"/>
          </w:divBdr>
          <w:divsChild>
            <w:div w:id="1005865606">
              <w:marLeft w:val="0"/>
              <w:marRight w:val="0"/>
              <w:marTop w:val="0"/>
              <w:marBottom w:val="0"/>
              <w:divBdr>
                <w:top w:val="none" w:sz="0" w:space="0" w:color="auto"/>
                <w:left w:val="none" w:sz="0" w:space="0" w:color="auto"/>
                <w:bottom w:val="none" w:sz="0" w:space="0" w:color="auto"/>
                <w:right w:val="none" w:sz="0" w:space="0" w:color="auto"/>
              </w:divBdr>
              <w:divsChild>
                <w:div w:id="711539167">
                  <w:marLeft w:val="115"/>
                  <w:marRight w:val="115"/>
                  <w:marTop w:val="0"/>
                  <w:marBottom w:val="0"/>
                  <w:divBdr>
                    <w:top w:val="none" w:sz="0" w:space="0" w:color="auto"/>
                    <w:left w:val="none" w:sz="0" w:space="0" w:color="auto"/>
                    <w:bottom w:val="none" w:sz="0" w:space="0" w:color="auto"/>
                    <w:right w:val="none" w:sz="0" w:space="0" w:color="auto"/>
                  </w:divBdr>
                  <w:divsChild>
                    <w:div w:id="571424954">
                      <w:marLeft w:val="0"/>
                      <w:marRight w:val="0"/>
                      <w:marTop w:val="0"/>
                      <w:marBottom w:val="0"/>
                      <w:divBdr>
                        <w:top w:val="none" w:sz="0" w:space="0" w:color="auto"/>
                        <w:left w:val="none" w:sz="0" w:space="0" w:color="auto"/>
                        <w:bottom w:val="none" w:sz="0" w:space="0" w:color="auto"/>
                        <w:right w:val="none" w:sz="0" w:space="0" w:color="auto"/>
                      </w:divBdr>
                      <w:divsChild>
                        <w:div w:id="1990859525">
                          <w:marLeft w:val="115"/>
                          <w:marRight w:val="115"/>
                          <w:marTop w:val="0"/>
                          <w:marBottom w:val="0"/>
                          <w:divBdr>
                            <w:top w:val="none" w:sz="0" w:space="0" w:color="auto"/>
                            <w:left w:val="none" w:sz="0" w:space="0" w:color="auto"/>
                            <w:bottom w:val="none" w:sz="0" w:space="0" w:color="auto"/>
                            <w:right w:val="none" w:sz="0" w:space="0" w:color="auto"/>
                          </w:divBdr>
                          <w:divsChild>
                            <w:div w:id="312102073">
                              <w:marLeft w:val="0"/>
                              <w:marRight w:val="0"/>
                              <w:marTop w:val="0"/>
                              <w:marBottom w:val="276"/>
                              <w:divBdr>
                                <w:top w:val="none" w:sz="0" w:space="0" w:color="auto"/>
                                <w:left w:val="none" w:sz="0" w:space="0" w:color="auto"/>
                                <w:bottom w:val="dotted" w:sz="4" w:space="14" w:color="CCCCCC"/>
                                <w:right w:val="none" w:sz="0" w:space="0" w:color="auto"/>
                              </w:divBdr>
                              <w:divsChild>
                                <w:div w:id="811022100">
                                  <w:marLeft w:val="0"/>
                                  <w:marRight w:val="0"/>
                                  <w:marTop w:val="0"/>
                                  <w:marBottom w:val="0"/>
                                  <w:divBdr>
                                    <w:top w:val="none" w:sz="0" w:space="0" w:color="auto"/>
                                    <w:left w:val="none" w:sz="0" w:space="0" w:color="auto"/>
                                    <w:bottom w:val="none" w:sz="0" w:space="0" w:color="auto"/>
                                    <w:right w:val="none" w:sz="0" w:space="0" w:color="auto"/>
                                  </w:divBdr>
                                  <w:divsChild>
                                    <w:div w:id="819736942">
                                      <w:marLeft w:val="0"/>
                                      <w:marRight w:val="0"/>
                                      <w:marTop w:val="0"/>
                                      <w:marBottom w:val="0"/>
                                      <w:divBdr>
                                        <w:top w:val="none" w:sz="0" w:space="0" w:color="auto"/>
                                        <w:left w:val="none" w:sz="0" w:space="0" w:color="auto"/>
                                        <w:bottom w:val="none" w:sz="0" w:space="0" w:color="auto"/>
                                        <w:right w:val="none" w:sz="0" w:space="0" w:color="auto"/>
                                      </w:divBdr>
                                    </w:div>
                                    <w:div w:id="26661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4410389">
      <w:bodyDiv w:val="1"/>
      <w:marLeft w:val="0"/>
      <w:marRight w:val="0"/>
      <w:marTop w:val="0"/>
      <w:marBottom w:val="0"/>
      <w:divBdr>
        <w:top w:val="none" w:sz="0" w:space="0" w:color="auto"/>
        <w:left w:val="none" w:sz="0" w:space="0" w:color="auto"/>
        <w:bottom w:val="none" w:sz="0" w:space="0" w:color="auto"/>
        <w:right w:val="none" w:sz="0" w:space="0" w:color="auto"/>
      </w:divBdr>
      <w:divsChild>
        <w:div w:id="1370564719">
          <w:marLeft w:val="0"/>
          <w:marRight w:val="0"/>
          <w:marTop w:val="0"/>
          <w:marBottom w:val="0"/>
          <w:divBdr>
            <w:top w:val="none" w:sz="0" w:space="0" w:color="auto"/>
            <w:left w:val="none" w:sz="0" w:space="0" w:color="auto"/>
            <w:bottom w:val="none" w:sz="0" w:space="0" w:color="auto"/>
            <w:right w:val="none" w:sz="0" w:space="0" w:color="auto"/>
          </w:divBdr>
          <w:divsChild>
            <w:div w:id="2109807163">
              <w:marLeft w:val="0"/>
              <w:marRight w:val="0"/>
              <w:marTop w:val="0"/>
              <w:marBottom w:val="0"/>
              <w:divBdr>
                <w:top w:val="none" w:sz="0" w:space="0" w:color="auto"/>
                <w:left w:val="none" w:sz="0" w:space="0" w:color="auto"/>
                <w:bottom w:val="none" w:sz="0" w:space="0" w:color="auto"/>
                <w:right w:val="none" w:sz="0" w:space="0" w:color="auto"/>
              </w:divBdr>
              <w:divsChild>
                <w:div w:id="725877500">
                  <w:marLeft w:val="115"/>
                  <w:marRight w:val="115"/>
                  <w:marTop w:val="0"/>
                  <w:marBottom w:val="0"/>
                  <w:divBdr>
                    <w:top w:val="none" w:sz="0" w:space="0" w:color="auto"/>
                    <w:left w:val="none" w:sz="0" w:space="0" w:color="auto"/>
                    <w:bottom w:val="none" w:sz="0" w:space="0" w:color="auto"/>
                    <w:right w:val="none" w:sz="0" w:space="0" w:color="auto"/>
                  </w:divBdr>
                  <w:divsChild>
                    <w:div w:id="689180671">
                      <w:marLeft w:val="0"/>
                      <w:marRight w:val="0"/>
                      <w:marTop w:val="0"/>
                      <w:marBottom w:val="0"/>
                      <w:divBdr>
                        <w:top w:val="none" w:sz="0" w:space="0" w:color="auto"/>
                        <w:left w:val="none" w:sz="0" w:space="0" w:color="auto"/>
                        <w:bottom w:val="none" w:sz="0" w:space="0" w:color="auto"/>
                        <w:right w:val="none" w:sz="0" w:space="0" w:color="auto"/>
                      </w:divBdr>
                      <w:divsChild>
                        <w:div w:id="533350656">
                          <w:marLeft w:val="115"/>
                          <w:marRight w:val="115"/>
                          <w:marTop w:val="0"/>
                          <w:marBottom w:val="0"/>
                          <w:divBdr>
                            <w:top w:val="none" w:sz="0" w:space="0" w:color="auto"/>
                            <w:left w:val="none" w:sz="0" w:space="0" w:color="auto"/>
                            <w:bottom w:val="none" w:sz="0" w:space="0" w:color="auto"/>
                            <w:right w:val="none" w:sz="0" w:space="0" w:color="auto"/>
                          </w:divBdr>
                          <w:divsChild>
                            <w:div w:id="1639333349">
                              <w:marLeft w:val="0"/>
                              <w:marRight w:val="0"/>
                              <w:marTop w:val="0"/>
                              <w:marBottom w:val="276"/>
                              <w:divBdr>
                                <w:top w:val="none" w:sz="0" w:space="0" w:color="auto"/>
                                <w:left w:val="none" w:sz="0" w:space="0" w:color="auto"/>
                                <w:bottom w:val="dotted" w:sz="4" w:space="14" w:color="CCCCCC"/>
                                <w:right w:val="none" w:sz="0" w:space="0" w:color="auto"/>
                              </w:divBdr>
                              <w:divsChild>
                                <w:div w:id="2086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999101">
      <w:bodyDiv w:val="1"/>
      <w:marLeft w:val="0"/>
      <w:marRight w:val="0"/>
      <w:marTop w:val="0"/>
      <w:marBottom w:val="0"/>
      <w:divBdr>
        <w:top w:val="none" w:sz="0" w:space="0" w:color="auto"/>
        <w:left w:val="none" w:sz="0" w:space="0" w:color="auto"/>
        <w:bottom w:val="none" w:sz="0" w:space="0" w:color="auto"/>
        <w:right w:val="none" w:sz="0" w:space="0" w:color="auto"/>
      </w:divBdr>
      <w:divsChild>
        <w:div w:id="356850305">
          <w:marLeft w:val="0"/>
          <w:marRight w:val="0"/>
          <w:marTop w:val="0"/>
          <w:marBottom w:val="0"/>
          <w:divBdr>
            <w:top w:val="none" w:sz="0" w:space="0" w:color="auto"/>
            <w:left w:val="none" w:sz="0" w:space="0" w:color="auto"/>
            <w:bottom w:val="none" w:sz="0" w:space="0" w:color="auto"/>
            <w:right w:val="none" w:sz="0" w:space="0" w:color="auto"/>
          </w:divBdr>
          <w:divsChild>
            <w:div w:id="1285621157">
              <w:marLeft w:val="0"/>
              <w:marRight w:val="0"/>
              <w:marTop w:val="0"/>
              <w:marBottom w:val="0"/>
              <w:divBdr>
                <w:top w:val="none" w:sz="0" w:space="0" w:color="auto"/>
                <w:left w:val="none" w:sz="0" w:space="0" w:color="auto"/>
                <w:bottom w:val="none" w:sz="0" w:space="0" w:color="auto"/>
                <w:right w:val="none" w:sz="0" w:space="0" w:color="auto"/>
              </w:divBdr>
              <w:divsChild>
                <w:div w:id="650328727">
                  <w:marLeft w:val="115"/>
                  <w:marRight w:val="115"/>
                  <w:marTop w:val="0"/>
                  <w:marBottom w:val="0"/>
                  <w:divBdr>
                    <w:top w:val="none" w:sz="0" w:space="0" w:color="auto"/>
                    <w:left w:val="none" w:sz="0" w:space="0" w:color="auto"/>
                    <w:bottom w:val="none" w:sz="0" w:space="0" w:color="auto"/>
                    <w:right w:val="none" w:sz="0" w:space="0" w:color="auto"/>
                  </w:divBdr>
                  <w:divsChild>
                    <w:div w:id="371728804">
                      <w:marLeft w:val="0"/>
                      <w:marRight w:val="0"/>
                      <w:marTop w:val="0"/>
                      <w:marBottom w:val="0"/>
                      <w:divBdr>
                        <w:top w:val="none" w:sz="0" w:space="0" w:color="auto"/>
                        <w:left w:val="none" w:sz="0" w:space="0" w:color="auto"/>
                        <w:bottom w:val="none" w:sz="0" w:space="0" w:color="auto"/>
                        <w:right w:val="none" w:sz="0" w:space="0" w:color="auto"/>
                      </w:divBdr>
                      <w:divsChild>
                        <w:div w:id="1413358311">
                          <w:marLeft w:val="115"/>
                          <w:marRight w:val="115"/>
                          <w:marTop w:val="0"/>
                          <w:marBottom w:val="0"/>
                          <w:divBdr>
                            <w:top w:val="none" w:sz="0" w:space="0" w:color="auto"/>
                            <w:left w:val="none" w:sz="0" w:space="0" w:color="auto"/>
                            <w:bottom w:val="none" w:sz="0" w:space="0" w:color="auto"/>
                            <w:right w:val="none" w:sz="0" w:space="0" w:color="auto"/>
                          </w:divBdr>
                          <w:divsChild>
                            <w:div w:id="927537312">
                              <w:marLeft w:val="0"/>
                              <w:marRight w:val="0"/>
                              <w:marTop w:val="0"/>
                              <w:marBottom w:val="276"/>
                              <w:divBdr>
                                <w:top w:val="none" w:sz="0" w:space="0" w:color="auto"/>
                                <w:left w:val="none" w:sz="0" w:space="0" w:color="auto"/>
                                <w:bottom w:val="dotted" w:sz="4" w:space="14" w:color="CCCCCC"/>
                                <w:right w:val="none" w:sz="0" w:space="0" w:color="auto"/>
                              </w:divBdr>
                              <w:divsChild>
                                <w:div w:id="281815037">
                                  <w:marLeft w:val="0"/>
                                  <w:marRight w:val="0"/>
                                  <w:marTop w:val="0"/>
                                  <w:marBottom w:val="0"/>
                                  <w:divBdr>
                                    <w:top w:val="none" w:sz="0" w:space="0" w:color="auto"/>
                                    <w:left w:val="none" w:sz="0" w:space="0" w:color="auto"/>
                                    <w:bottom w:val="none" w:sz="0" w:space="0" w:color="auto"/>
                                    <w:right w:val="none" w:sz="0" w:space="0" w:color="auto"/>
                                  </w:divBdr>
                                  <w:divsChild>
                                    <w:div w:id="350690502">
                                      <w:marLeft w:val="0"/>
                                      <w:marRight w:val="0"/>
                                      <w:marTop w:val="0"/>
                                      <w:marBottom w:val="0"/>
                                      <w:divBdr>
                                        <w:top w:val="none" w:sz="0" w:space="0" w:color="auto"/>
                                        <w:left w:val="none" w:sz="0" w:space="0" w:color="auto"/>
                                        <w:bottom w:val="none" w:sz="0" w:space="0" w:color="auto"/>
                                        <w:right w:val="none" w:sz="0" w:space="0" w:color="auto"/>
                                      </w:divBdr>
                                    </w:div>
                                    <w:div w:id="74541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275426">
      <w:bodyDiv w:val="1"/>
      <w:marLeft w:val="0"/>
      <w:marRight w:val="0"/>
      <w:marTop w:val="0"/>
      <w:marBottom w:val="0"/>
      <w:divBdr>
        <w:top w:val="none" w:sz="0" w:space="0" w:color="auto"/>
        <w:left w:val="none" w:sz="0" w:space="0" w:color="auto"/>
        <w:bottom w:val="none" w:sz="0" w:space="0" w:color="auto"/>
        <w:right w:val="none" w:sz="0" w:space="0" w:color="auto"/>
      </w:divBdr>
      <w:divsChild>
        <w:div w:id="1613781908">
          <w:marLeft w:val="0"/>
          <w:marRight w:val="0"/>
          <w:marTop w:val="0"/>
          <w:marBottom w:val="0"/>
          <w:divBdr>
            <w:top w:val="none" w:sz="0" w:space="0" w:color="auto"/>
            <w:left w:val="none" w:sz="0" w:space="0" w:color="auto"/>
            <w:bottom w:val="none" w:sz="0" w:space="0" w:color="auto"/>
            <w:right w:val="none" w:sz="0" w:space="0" w:color="auto"/>
          </w:divBdr>
          <w:divsChild>
            <w:div w:id="587423800">
              <w:marLeft w:val="0"/>
              <w:marRight w:val="0"/>
              <w:marTop w:val="0"/>
              <w:marBottom w:val="0"/>
              <w:divBdr>
                <w:top w:val="none" w:sz="0" w:space="0" w:color="auto"/>
                <w:left w:val="none" w:sz="0" w:space="0" w:color="auto"/>
                <w:bottom w:val="none" w:sz="0" w:space="0" w:color="auto"/>
                <w:right w:val="none" w:sz="0" w:space="0" w:color="auto"/>
              </w:divBdr>
              <w:divsChild>
                <w:div w:id="483474220">
                  <w:marLeft w:val="115"/>
                  <w:marRight w:val="115"/>
                  <w:marTop w:val="0"/>
                  <w:marBottom w:val="0"/>
                  <w:divBdr>
                    <w:top w:val="none" w:sz="0" w:space="0" w:color="auto"/>
                    <w:left w:val="none" w:sz="0" w:space="0" w:color="auto"/>
                    <w:bottom w:val="none" w:sz="0" w:space="0" w:color="auto"/>
                    <w:right w:val="none" w:sz="0" w:space="0" w:color="auto"/>
                  </w:divBdr>
                  <w:divsChild>
                    <w:div w:id="1483157872">
                      <w:marLeft w:val="0"/>
                      <w:marRight w:val="0"/>
                      <w:marTop w:val="0"/>
                      <w:marBottom w:val="0"/>
                      <w:divBdr>
                        <w:top w:val="none" w:sz="0" w:space="0" w:color="auto"/>
                        <w:left w:val="none" w:sz="0" w:space="0" w:color="auto"/>
                        <w:bottom w:val="none" w:sz="0" w:space="0" w:color="auto"/>
                        <w:right w:val="none" w:sz="0" w:space="0" w:color="auto"/>
                      </w:divBdr>
                      <w:divsChild>
                        <w:div w:id="894465061">
                          <w:marLeft w:val="115"/>
                          <w:marRight w:val="115"/>
                          <w:marTop w:val="0"/>
                          <w:marBottom w:val="0"/>
                          <w:divBdr>
                            <w:top w:val="none" w:sz="0" w:space="0" w:color="auto"/>
                            <w:left w:val="none" w:sz="0" w:space="0" w:color="auto"/>
                            <w:bottom w:val="none" w:sz="0" w:space="0" w:color="auto"/>
                            <w:right w:val="none" w:sz="0" w:space="0" w:color="auto"/>
                          </w:divBdr>
                          <w:divsChild>
                            <w:div w:id="366417216">
                              <w:marLeft w:val="0"/>
                              <w:marRight w:val="0"/>
                              <w:marTop w:val="0"/>
                              <w:marBottom w:val="276"/>
                              <w:divBdr>
                                <w:top w:val="none" w:sz="0" w:space="0" w:color="auto"/>
                                <w:left w:val="none" w:sz="0" w:space="0" w:color="auto"/>
                                <w:bottom w:val="dotted" w:sz="4" w:space="14" w:color="CCCCCC"/>
                                <w:right w:val="none" w:sz="0" w:space="0" w:color="auto"/>
                              </w:divBdr>
                              <w:divsChild>
                                <w:div w:id="1742100410">
                                  <w:marLeft w:val="0"/>
                                  <w:marRight w:val="0"/>
                                  <w:marTop w:val="0"/>
                                  <w:marBottom w:val="0"/>
                                  <w:divBdr>
                                    <w:top w:val="none" w:sz="0" w:space="0" w:color="auto"/>
                                    <w:left w:val="none" w:sz="0" w:space="0" w:color="auto"/>
                                    <w:bottom w:val="none" w:sz="0" w:space="0" w:color="auto"/>
                                    <w:right w:val="none" w:sz="0" w:space="0" w:color="auto"/>
                                  </w:divBdr>
                                  <w:divsChild>
                                    <w:div w:id="1739009762">
                                      <w:marLeft w:val="0"/>
                                      <w:marRight w:val="0"/>
                                      <w:marTop w:val="0"/>
                                      <w:marBottom w:val="0"/>
                                      <w:divBdr>
                                        <w:top w:val="none" w:sz="0" w:space="0" w:color="auto"/>
                                        <w:left w:val="none" w:sz="0" w:space="0" w:color="auto"/>
                                        <w:bottom w:val="none" w:sz="0" w:space="0" w:color="auto"/>
                                        <w:right w:val="none" w:sz="0" w:space="0" w:color="auto"/>
                                      </w:divBdr>
                                    </w:div>
                                    <w:div w:id="58237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607148">
      <w:bodyDiv w:val="1"/>
      <w:marLeft w:val="0"/>
      <w:marRight w:val="0"/>
      <w:marTop w:val="0"/>
      <w:marBottom w:val="0"/>
      <w:divBdr>
        <w:top w:val="none" w:sz="0" w:space="0" w:color="auto"/>
        <w:left w:val="none" w:sz="0" w:space="0" w:color="auto"/>
        <w:bottom w:val="none" w:sz="0" w:space="0" w:color="auto"/>
        <w:right w:val="none" w:sz="0" w:space="0" w:color="auto"/>
      </w:divBdr>
      <w:divsChild>
        <w:div w:id="326597419">
          <w:marLeft w:val="0"/>
          <w:marRight w:val="0"/>
          <w:marTop w:val="0"/>
          <w:marBottom w:val="0"/>
          <w:divBdr>
            <w:top w:val="none" w:sz="0" w:space="0" w:color="auto"/>
            <w:left w:val="none" w:sz="0" w:space="0" w:color="auto"/>
            <w:bottom w:val="none" w:sz="0" w:space="0" w:color="auto"/>
            <w:right w:val="none" w:sz="0" w:space="0" w:color="auto"/>
          </w:divBdr>
          <w:divsChild>
            <w:div w:id="1995714310">
              <w:marLeft w:val="0"/>
              <w:marRight w:val="0"/>
              <w:marTop w:val="0"/>
              <w:marBottom w:val="0"/>
              <w:divBdr>
                <w:top w:val="none" w:sz="0" w:space="0" w:color="auto"/>
                <w:left w:val="none" w:sz="0" w:space="0" w:color="auto"/>
                <w:bottom w:val="none" w:sz="0" w:space="0" w:color="auto"/>
                <w:right w:val="none" w:sz="0" w:space="0" w:color="auto"/>
              </w:divBdr>
              <w:divsChild>
                <w:div w:id="1932273460">
                  <w:marLeft w:val="115"/>
                  <w:marRight w:val="115"/>
                  <w:marTop w:val="0"/>
                  <w:marBottom w:val="0"/>
                  <w:divBdr>
                    <w:top w:val="none" w:sz="0" w:space="0" w:color="auto"/>
                    <w:left w:val="none" w:sz="0" w:space="0" w:color="auto"/>
                    <w:bottom w:val="none" w:sz="0" w:space="0" w:color="auto"/>
                    <w:right w:val="none" w:sz="0" w:space="0" w:color="auto"/>
                  </w:divBdr>
                  <w:divsChild>
                    <w:div w:id="1350260311">
                      <w:marLeft w:val="0"/>
                      <w:marRight w:val="0"/>
                      <w:marTop w:val="0"/>
                      <w:marBottom w:val="0"/>
                      <w:divBdr>
                        <w:top w:val="none" w:sz="0" w:space="0" w:color="auto"/>
                        <w:left w:val="none" w:sz="0" w:space="0" w:color="auto"/>
                        <w:bottom w:val="none" w:sz="0" w:space="0" w:color="auto"/>
                        <w:right w:val="none" w:sz="0" w:space="0" w:color="auto"/>
                      </w:divBdr>
                      <w:divsChild>
                        <w:div w:id="693654072">
                          <w:marLeft w:val="115"/>
                          <w:marRight w:val="115"/>
                          <w:marTop w:val="0"/>
                          <w:marBottom w:val="0"/>
                          <w:divBdr>
                            <w:top w:val="none" w:sz="0" w:space="0" w:color="auto"/>
                            <w:left w:val="none" w:sz="0" w:space="0" w:color="auto"/>
                            <w:bottom w:val="none" w:sz="0" w:space="0" w:color="auto"/>
                            <w:right w:val="none" w:sz="0" w:space="0" w:color="auto"/>
                          </w:divBdr>
                          <w:divsChild>
                            <w:div w:id="1902398867">
                              <w:marLeft w:val="0"/>
                              <w:marRight w:val="0"/>
                              <w:marTop w:val="0"/>
                              <w:marBottom w:val="276"/>
                              <w:divBdr>
                                <w:top w:val="none" w:sz="0" w:space="0" w:color="auto"/>
                                <w:left w:val="none" w:sz="0" w:space="0" w:color="auto"/>
                                <w:bottom w:val="dotted" w:sz="4" w:space="14" w:color="CCCCCC"/>
                                <w:right w:val="none" w:sz="0" w:space="0" w:color="auto"/>
                              </w:divBdr>
                              <w:divsChild>
                                <w:div w:id="102251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5438058">
      <w:bodyDiv w:val="1"/>
      <w:marLeft w:val="0"/>
      <w:marRight w:val="0"/>
      <w:marTop w:val="0"/>
      <w:marBottom w:val="0"/>
      <w:divBdr>
        <w:top w:val="none" w:sz="0" w:space="0" w:color="auto"/>
        <w:left w:val="none" w:sz="0" w:space="0" w:color="auto"/>
        <w:bottom w:val="none" w:sz="0" w:space="0" w:color="auto"/>
        <w:right w:val="none" w:sz="0" w:space="0" w:color="auto"/>
      </w:divBdr>
      <w:divsChild>
        <w:div w:id="1320385884">
          <w:marLeft w:val="0"/>
          <w:marRight w:val="0"/>
          <w:marTop w:val="0"/>
          <w:marBottom w:val="0"/>
          <w:divBdr>
            <w:top w:val="none" w:sz="0" w:space="0" w:color="auto"/>
            <w:left w:val="none" w:sz="0" w:space="0" w:color="auto"/>
            <w:bottom w:val="none" w:sz="0" w:space="0" w:color="auto"/>
            <w:right w:val="none" w:sz="0" w:space="0" w:color="auto"/>
          </w:divBdr>
          <w:divsChild>
            <w:div w:id="410010974">
              <w:marLeft w:val="0"/>
              <w:marRight w:val="0"/>
              <w:marTop w:val="0"/>
              <w:marBottom w:val="0"/>
              <w:divBdr>
                <w:top w:val="none" w:sz="0" w:space="0" w:color="auto"/>
                <w:left w:val="none" w:sz="0" w:space="0" w:color="auto"/>
                <w:bottom w:val="none" w:sz="0" w:space="0" w:color="auto"/>
                <w:right w:val="none" w:sz="0" w:space="0" w:color="auto"/>
              </w:divBdr>
              <w:divsChild>
                <w:div w:id="274949131">
                  <w:marLeft w:val="115"/>
                  <w:marRight w:val="115"/>
                  <w:marTop w:val="0"/>
                  <w:marBottom w:val="0"/>
                  <w:divBdr>
                    <w:top w:val="none" w:sz="0" w:space="0" w:color="auto"/>
                    <w:left w:val="none" w:sz="0" w:space="0" w:color="auto"/>
                    <w:bottom w:val="none" w:sz="0" w:space="0" w:color="auto"/>
                    <w:right w:val="none" w:sz="0" w:space="0" w:color="auto"/>
                  </w:divBdr>
                  <w:divsChild>
                    <w:div w:id="1141195077">
                      <w:marLeft w:val="0"/>
                      <w:marRight w:val="0"/>
                      <w:marTop w:val="0"/>
                      <w:marBottom w:val="0"/>
                      <w:divBdr>
                        <w:top w:val="none" w:sz="0" w:space="0" w:color="auto"/>
                        <w:left w:val="none" w:sz="0" w:space="0" w:color="auto"/>
                        <w:bottom w:val="none" w:sz="0" w:space="0" w:color="auto"/>
                        <w:right w:val="none" w:sz="0" w:space="0" w:color="auto"/>
                      </w:divBdr>
                      <w:divsChild>
                        <w:div w:id="1515801200">
                          <w:marLeft w:val="115"/>
                          <w:marRight w:val="115"/>
                          <w:marTop w:val="0"/>
                          <w:marBottom w:val="0"/>
                          <w:divBdr>
                            <w:top w:val="none" w:sz="0" w:space="0" w:color="auto"/>
                            <w:left w:val="none" w:sz="0" w:space="0" w:color="auto"/>
                            <w:bottom w:val="none" w:sz="0" w:space="0" w:color="auto"/>
                            <w:right w:val="none" w:sz="0" w:space="0" w:color="auto"/>
                          </w:divBdr>
                          <w:divsChild>
                            <w:div w:id="1382944758">
                              <w:marLeft w:val="0"/>
                              <w:marRight w:val="0"/>
                              <w:marTop w:val="0"/>
                              <w:marBottom w:val="276"/>
                              <w:divBdr>
                                <w:top w:val="none" w:sz="0" w:space="0" w:color="auto"/>
                                <w:left w:val="none" w:sz="0" w:space="0" w:color="auto"/>
                                <w:bottom w:val="dotted" w:sz="4" w:space="14" w:color="CCCCCC"/>
                                <w:right w:val="none" w:sz="0" w:space="0" w:color="auto"/>
                              </w:divBdr>
                              <w:divsChild>
                                <w:div w:id="647515871">
                                  <w:marLeft w:val="0"/>
                                  <w:marRight w:val="0"/>
                                  <w:marTop w:val="0"/>
                                  <w:marBottom w:val="0"/>
                                  <w:divBdr>
                                    <w:top w:val="none" w:sz="0" w:space="0" w:color="auto"/>
                                    <w:left w:val="none" w:sz="0" w:space="0" w:color="auto"/>
                                    <w:bottom w:val="none" w:sz="0" w:space="0" w:color="auto"/>
                                    <w:right w:val="none" w:sz="0" w:space="0" w:color="auto"/>
                                  </w:divBdr>
                                  <w:divsChild>
                                    <w:div w:id="779223431">
                                      <w:marLeft w:val="0"/>
                                      <w:marRight w:val="0"/>
                                      <w:marTop w:val="0"/>
                                      <w:marBottom w:val="0"/>
                                      <w:divBdr>
                                        <w:top w:val="none" w:sz="0" w:space="0" w:color="auto"/>
                                        <w:left w:val="none" w:sz="0" w:space="0" w:color="auto"/>
                                        <w:bottom w:val="none" w:sz="0" w:space="0" w:color="auto"/>
                                        <w:right w:val="none" w:sz="0" w:space="0" w:color="auto"/>
                                      </w:divBdr>
                                    </w:div>
                                    <w:div w:id="149128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1261230">
      <w:bodyDiv w:val="1"/>
      <w:marLeft w:val="0"/>
      <w:marRight w:val="0"/>
      <w:marTop w:val="0"/>
      <w:marBottom w:val="0"/>
      <w:divBdr>
        <w:top w:val="none" w:sz="0" w:space="0" w:color="auto"/>
        <w:left w:val="none" w:sz="0" w:space="0" w:color="auto"/>
        <w:bottom w:val="none" w:sz="0" w:space="0" w:color="auto"/>
        <w:right w:val="none" w:sz="0" w:space="0" w:color="auto"/>
      </w:divBdr>
      <w:divsChild>
        <w:div w:id="1202401402">
          <w:marLeft w:val="0"/>
          <w:marRight w:val="0"/>
          <w:marTop w:val="0"/>
          <w:marBottom w:val="0"/>
          <w:divBdr>
            <w:top w:val="none" w:sz="0" w:space="0" w:color="auto"/>
            <w:left w:val="none" w:sz="0" w:space="0" w:color="auto"/>
            <w:bottom w:val="none" w:sz="0" w:space="0" w:color="auto"/>
            <w:right w:val="none" w:sz="0" w:space="0" w:color="auto"/>
          </w:divBdr>
          <w:divsChild>
            <w:div w:id="797452690">
              <w:marLeft w:val="0"/>
              <w:marRight w:val="0"/>
              <w:marTop w:val="0"/>
              <w:marBottom w:val="0"/>
              <w:divBdr>
                <w:top w:val="none" w:sz="0" w:space="0" w:color="auto"/>
                <w:left w:val="none" w:sz="0" w:space="0" w:color="auto"/>
                <w:bottom w:val="none" w:sz="0" w:space="0" w:color="auto"/>
                <w:right w:val="none" w:sz="0" w:space="0" w:color="auto"/>
              </w:divBdr>
              <w:divsChild>
                <w:div w:id="572278163">
                  <w:marLeft w:val="115"/>
                  <w:marRight w:val="115"/>
                  <w:marTop w:val="0"/>
                  <w:marBottom w:val="0"/>
                  <w:divBdr>
                    <w:top w:val="none" w:sz="0" w:space="0" w:color="auto"/>
                    <w:left w:val="none" w:sz="0" w:space="0" w:color="auto"/>
                    <w:bottom w:val="none" w:sz="0" w:space="0" w:color="auto"/>
                    <w:right w:val="none" w:sz="0" w:space="0" w:color="auto"/>
                  </w:divBdr>
                  <w:divsChild>
                    <w:div w:id="1945765432">
                      <w:marLeft w:val="0"/>
                      <w:marRight w:val="0"/>
                      <w:marTop w:val="0"/>
                      <w:marBottom w:val="0"/>
                      <w:divBdr>
                        <w:top w:val="none" w:sz="0" w:space="0" w:color="auto"/>
                        <w:left w:val="none" w:sz="0" w:space="0" w:color="auto"/>
                        <w:bottom w:val="none" w:sz="0" w:space="0" w:color="auto"/>
                        <w:right w:val="none" w:sz="0" w:space="0" w:color="auto"/>
                      </w:divBdr>
                      <w:divsChild>
                        <w:div w:id="1893299294">
                          <w:marLeft w:val="115"/>
                          <w:marRight w:val="115"/>
                          <w:marTop w:val="0"/>
                          <w:marBottom w:val="0"/>
                          <w:divBdr>
                            <w:top w:val="none" w:sz="0" w:space="0" w:color="auto"/>
                            <w:left w:val="none" w:sz="0" w:space="0" w:color="auto"/>
                            <w:bottom w:val="none" w:sz="0" w:space="0" w:color="auto"/>
                            <w:right w:val="none" w:sz="0" w:space="0" w:color="auto"/>
                          </w:divBdr>
                          <w:divsChild>
                            <w:div w:id="509562815">
                              <w:marLeft w:val="0"/>
                              <w:marRight w:val="0"/>
                              <w:marTop w:val="0"/>
                              <w:marBottom w:val="276"/>
                              <w:divBdr>
                                <w:top w:val="none" w:sz="0" w:space="0" w:color="auto"/>
                                <w:left w:val="none" w:sz="0" w:space="0" w:color="auto"/>
                                <w:bottom w:val="dotted" w:sz="4" w:space="14" w:color="CCCCCC"/>
                                <w:right w:val="none" w:sz="0" w:space="0" w:color="auto"/>
                              </w:divBdr>
                              <w:divsChild>
                                <w:div w:id="1754231406">
                                  <w:marLeft w:val="0"/>
                                  <w:marRight w:val="0"/>
                                  <w:marTop w:val="0"/>
                                  <w:marBottom w:val="0"/>
                                  <w:divBdr>
                                    <w:top w:val="none" w:sz="0" w:space="0" w:color="auto"/>
                                    <w:left w:val="none" w:sz="0" w:space="0" w:color="auto"/>
                                    <w:bottom w:val="none" w:sz="0" w:space="0" w:color="auto"/>
                                    <w:right w:val="none" w:sz="0" w:space="0" w:color="auto"/>
                                  </w:divBdr>
                                  <w:divsChild>
                                    <w:div w:id="686371512">
                                      <w:marLeft w:val="0"/>
                                      <w:marRight w:val="0"/>
                                      <w:marTop w:val="0"/>
                                      <w:marBottom w:val="0"/>
                                      <w:divBdr>
                                        <w:top w:val="none" w:sz="0" w:space="0" w:color="auto"/>
                                        <w:left w:val="none" w:sz="0" w:space="0" w:color="auto"/>
                                        <w:bottom w:val="none" w:sz="0" w:space="0" w:color="auto"/>
                                        <w:right w:val="none" w:sz="0" w:space="0" w:color="auto"/>
                                      </w:divBdr>
                                    </w:div>
                                    <w:div w:id="105149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254259">
      <w:bodyDiv w:val="1"/>
      <w:marLeft w:val="0"/>
      <w:marRight w:val="0"/>
      <w:marTop w:val="0"/>
      <w:marBottom w:val="0"/>
      <w:divBdr>
        <w:top w:val="none" w:sz="0" w:space="0" w:color="auto"/>
        <w:left w:val="none" w:sz="0" w:space="0" w:color="auto"/>
        <w:bottom w:val="none" w:sz="0" w:space="0" w:color="auto"/>
        <w:right w:val="none" w:sz="0" w:space="0" w:color="auto"/>
      </w:divBdr>
      <w:divsChild>
        <w:div w:id="2070691423">
          <w:marLeft w:val="0"/>
          <w:marRight w:val="0"/>
          <w:marTop w:val="0"/>
          <w:marBottom w:val="0"/>
          <w:divBdr>
            <w:top w:val="none" w:sz="0" w:space="0" w:color="auto"/>
            <w:left w:val="none" w:sz="0" w:space="0" w:color="auto"/>
            <w:bottom w:val="none" w:sz="0" w:space="0" w:color="auto"/>
            <w:right w:val="none" w:sz="0" w:space="0" w:color="auto"/>
          </w:divBdr>
          <w:divsChild>
            <w:div w:id="2069068131">
              <w:marLeft w:val="0"/>
              <w:marRight w:val="0"/>
              <w:marTop w:val="0"/>
              <w:marBottom w:val="0"/>
              <w:divBdr>
                <w:top w:val="none" w:sz="0" w:space="0" w:color="auto"/>
                <w:left w:val="none" w:sz="0" w:space="0" w:color="auto"/>
                <w:bottom w:val="none" w:sz="0" w:space="0" w:color="auto"/>
                <w:right w:val="none" w:sz="0" w:space="0" w:color="auto"/>
              </w:divBdr>
              <w:divsChild>
                <w:div w:id="405343663">
                  <w:marLeft w:val="115"/>
                  <w:marRight w:val="115"/>
                  <w:marTop w:val="0"/>
                  <w:marBottom w:val="0"/>
                  <w:divBdr>
                    <w:top w:val="none" w:sz="0" w:space="0" w:color="auto"/>
                    <w:left w:val="none" w:sz="0" w:space="0" w:color="auto"/>
                    <w:bottom w:val="none" w:sz="0" w:space="0" w:color="auto"/>
                    <w:right w:val="none" w:sz="0" w:space="0" w:color="auto"/>
                  </w:divBdr>
                  <w:divsChild>
                    <w:div w:id="504050175">
                      <w:marLeft w:val="0"/>
                      <w:marRight w:val="0"/>
                      <w:marTop w:val="0"/>
                      <w:marBottom w:val="0"/>
                      <w:divBdr>
                        <w:top w:val="none" w:sz="0" w:space="0" w:color="auto"/>
                        <w:left w:val="none" w:sz="0" w:space="0" w:color="auto"/>
                        <w:bottom w:val="none" w:sz="0" w:space="0" w:color="auto"/>
                        <w:right w:val="none" w:sz="0" w:space="0" w:color="auto"/>
                      </w:divBdr>
                      <w:divsChild>
                        <w:div w:id="1653486603">
                          <w:marLeft w:val="115"/>
                          <w:marRight w:val="115"/>
                          <w:marTop w:val="0"/>
                          <w:marBottom w:val="0"/>
                          <w:divBdr>
                            <w:top w:val="none" w:sz="0" w:space="0" w:color="auto"/>
                            <w:left w:val="none" w:sz="0" w:space="0" w:color="auto"/>
                            <w:bottom w:val="none" w:sz="0" w:space="0" w:color="auto"/>
                            <w:right w:val="none" w:sz="0" w:space="0" w:color="auto"/>
                          </w:divBdr>
                          <w:divsChild>
                            <w:div w:id="404498491">
                              <w:marLeft w:val="0"/>
                              <w:marRight w:val="0"/>
                              <w:marTop w:val="0"/>
                              <w:marBottom w:val="276"/>
                              <w:divBdr>
                                <w:top w:val="none" w:sz="0" w:space="0" w:color="auto"/>
                                <w:left w:val="none" w:sz="0" w:space="0" w:color="auto"/>
                                <w:bottom w:val="dotted" w:sz="4" w:space="14" w:color="CCCCCC"/>
                                <w:right w:val="none" w:sz="0" w:space="0" w:color="auto"/>
                              </w:divBdr>
                              <w:divsChild>
                                <w:div w:id="1791895799">
                                  <w:marLeft w:val="0"/>
                                  <w:marRight w:val="0"/>
                                  <w:marTop w:val="0"/>
                                  <w:marBottom w:val="0"/>
                                  <w:divBdr>
                                    <w:top w:val="none" w:sz="0" w:space="0" w:color="auto"/>
                                    <w:left w:val="none" w:sz="0" w:space="0" w:color="auto"/>
                                    <w:bottom w:val="none" w:sz="0" w:space="0" w:color="auto"/>
                                    <w:right w:val="none" w:sz="0" w:space="0" w:color="auto"/>
                                  </w:divBdr>
                                  <w:divsChild>
                                    <w:div w:id="1791512463">
                                      <w:marLeft w:val="0"/>
                                      <w:marRight w:val="0"/>
                                      <w:marTop w:val="0"/>
                                      <w:marBottom w:val="0"/>
                                      <w:divBdr>
                                        <w:top w:val="none" w:sz="0" w:space="0" w:color="auto"/>
                                        <w:left w:val="none" w:sz="0" w:space="0" w:color="auto"/>
                                        <w:bottom w:val="none" w:sz="0" w:space="0" w:color="auto"/>
                                        <w:right w:val="none" w:sz="0" w:space="0" w:color="auto"/>
                                      </w:divBdr>
                                    </w:div>
                                    <w:div w:id="129664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3299538">
      <w:bodyDiv w:val="1"/>
      <w:marLeft w:val="0"/>
      <w:marRight w:val="0"/>
      <w:marTop w:val="0"/>
      <w:marBottom w:val="0"/>
      <w:divBdr>
        <w:top w:val="none" w:sz="0" w:space="0" w:color="auto"/>
        <w:left w:val="none" w:sz="0" w:space="0" w:color="auto"/>
        <w:bottom w:val="none" w:sz="0" w:space="0" w:color="auto"/>
        <w:right w:val="none" w:sz="0" w:space="0" w:color="auto"/>
      </w:divBdr>
      <w:divsChild>
        <w:div w:id="1097679429">
          <w:marLeft w:val="0"/>
          <w:marRight w:val="0"/>
          <w:marTop w:val="0"/>
          <w:marBottom w:val="0"/>
          <w:divBdr>
            <w:top w:val="none" w:sz="0" w:space="0" w:color="auto"/>
            <w:left w:val="none" w:sz="0" w:space="0" w:color="auto"/>
            <w:bottom w:val="none" w:sz="0" w:space="0" w:color="auto"/>
            <w:right w:val="none" w:sz="0" w:space="0" w:color="auto"/>
          </w:divBdr>
          <w:divsChild>
            <w:div w:id="475419032">
              <w:marLeft w:val="0"/>
              <w:marRight w:val="0"/>
              <w:marTop w:val="0"/>
              <w:marBottom w:val="0"/>
              <w:divBdr>
                <w:top w:val="none" w:sz="0" w:space="0" w:color="auto"/>
                <w:left w:val="none" w:sz="0" w:space="0" w:color="auto"/>
                <w:bottom w:val="none" w:sz="0" w:space="0" w:color="auto"/>
                <w:right w:val="none" w:sz="0" w:space="0" w:color="auto"/>
              </w:divBdr>
              <w:divsChild>
                <w:div w:id="592327030">
                  <w:marLeft w:val="115"/>
                  <w:marRight w:val="115"/>
                  <w:marTop w:val="0"/>
                  <w:marBottom w:val="0"/>
                  <w:divBdr>
                    <w:top w:val="none" w:sz="0" w:space="0" w:color="auto"/>
                    <w:left w:val="none" w:sz="0" w:space="0" w:color="auto"/>
                    <w:bottom w:val="none" w:sz="0" w:space="0" w:color="auto"/>
                    <w:right w:val="none" w:sz="0" w:space="0" w:color="auto"/>
                  </w:divBdr>
                  <w:divsChild>
                    <w:div w:id="1821460322">
                      <w:marLeft w:val="0"/>
                      <w:marRight w:val="0"/>
                      <w:marTop w:val="0"/>
                      <w:marBottom w:val="0"/>
                      <w:divBdr>
                        <w:top w:val="none" w:sz="0" w:space="0" w:color="auto"/>
                        <w:left w:val="none" w:sz="0" w:space="0" w:color="auto"/>
                        <w:bottom w:val="none" w:sz="0" w:space="0" w:color="auto"/>
                        <w:right w:val="none" w:sz="0" w:space="0" w:color="auto"/>
                      </w:divBdr>
                      <w:divsChild>
                        <w:div w:id="1548907514">
                          <w:marLeft w:val="115"/>
                          <w:marRight w:val="115"/>
                          <w:marTop w:val="0"/>
                          <w:marBottom w:val="0"/>
                          <w:divBdr>
                            <w:top w:val="none" w:sz="0" w:space="0" w:color="auto"/>
                            <w:left w:val="none" w:sz="0" w:space="0" w:color="auto"/>
                            <w:bottom w:val="none" w:sz="0" w:space="0" w:color="auto"/>
                            <w:right w:val="none" w:sz="0" w:space="0" w:color="auto"/>
                          </w:divBdr>
                          <w:divsChild>
                            <w:div w:id="573668036">
                              <w:marLeft w:val="0"/>
                              <w:marRight w:val="0"/>
                              <w:marTop w:val="0"/>
                              <w:marBottom w:val="276"/>
                              <w:divBdr>
                                <w:top w:val="none" w:sz="0" w:space="0" w:color="auto"/>
                                <w:left w:val="none" w:sz="0" w:space="0" w:color="auto"/>
                                <w:bottom w:val="dotted" w:sz="4" w:space="14" w:color="CCCCCC"/>
                                <w:right w:val="none" w:sz="0" w:space="0" w:color="auto"/>
                              </w:divBdr>
                              <w:divsChild>
                                <w:div w:id="1077633302">
                                  <w:marLeft w:val="0"/>
                                  <w:marRight w:val="0"/>
                                  <w:marTop w:val="0"/>
                                  <w:marBottom w:val="0"/>
                                  <w:divBdr>
                                    <w:top w:val="none" w:sz="0" w:space="0" w:color="auto"/>
                                    <w:left w:val="none" w:sz="0" w:space="0" w:color="auto"/>
                                    <w:bottom w:val="none" w:sz="0" w:space="0" w:color="auto"/>
                                    <w:right w:val="none" w:sz="0" w:space="0" w:color="auto"/>
                                  </w:divBdr>
                                  <w:divsChild>
                                    <w:div w:id="1516649109">
                                      <w:marLeft w:val="0"/>
                                      <w:marRight w:val="0"/>
                                      <w:marTop w:val="0"/>
                                      <w:marBottom w:val="0"/>
                                      <w:divBdr>
                                        <w:top w:val="none" w:sz="0" w:space="0" w:color="auto"/>
                                        <w:left w:val="none" w:sz="0" w:space="0" w:color="auto"/>
                                        <w:bottom w:val="none" w:sz="0" w:space="0" w:color="auto"/>
                                        <w:right w:val="none" w:sz="0" w:space="0" w:color="auto"/>
                                      </w:divBdr>
                                    </w:div>
                                    <w:div w:id="212699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1296851">
      <w:bodyDiv w:val="1"/>
      <w:marLeft w:val="0"/>
      <w:marRight w:val="0"/>
      <w:marTop w:val="0"/>
      <w:marBottom w:val="0"/>
      <w:divBdr>
        <w:top w:val="none" w:sz="0" w:space="0" w:color="auto"/>
        <w:left w:val="none" w:sz="0" w:space="0" w:color="auto"/>
        <w:bottom w:val="none" w:sz="0" w:space="0" w:color="auto"/>
        <w:right w:val="none" w:sz="0" w:space="0" w:color="auto"/>
      </w:divBdr>
      <w:divsChild>
        <w:div w:id="705178186">
          <w:marLeft w:val="0"/>
          <w:marRight w:val="0"/>
          <w:marTop w:val="0"/>
          <w:marBottom w:val="0"/>
          <w:divBdr>
            <w:top w:val="none" w:sz="0" w:space="0" w:color="auto"/>
            <w:left w:val="none" w:sz="0" w:space="0" w:color="auto"/>
            <w:bottom w:val="none" w:sz="0" w:space="0" w:color="auto"/>
            <w:right w:val="none" w:sz="0" w:space="0" w:color="auto"/>
          </w:divBdr>
          <w:divsChild>
            <w:div w:id="1215313524">
              <w:marLeft w:val="0"/>
              <w:marRight w:val="0"/>
              <w:marTop w:val="0"/>
              <w:marBottom w:val="0"/>
              <w:divBdr>
                <w:top w:val="none" w:sz="0" w:space="0" w:color="auto"/>
                <w:left w:val="none" w:sz="0" w:space="0" w:color="auto"/>
                <w:bottom w:val="none" w:sz="0" w:space="0" w:color="auto"/>
                <w:right w:val="none" w:sz="0" w:space="0" w:color="auto"/>
              </w:divBdr>
              <w:divsChild>
                <w:div w:id="1509523317">
                  <w:marLeft w:val="115"/>
                  <w:marRight w:val="115"/>
                  <w:marTop w:val="0"/>
                  <w:marBottom w:val="0"/>
                  <w:divBdr>
                    <w:top w:val="none" w:sz="0" w:space="0" w:color="auto"/>
                    <w:left w:val="none" w:sz="0" w:space="0" w:color="auto"/>
                    <w:bottom w:val="none" w:sz="0" w:space="0" w:color="auto"/>
                    <w:right w:val="none" w:sz="0" w:space="0" w:color="auto"/>
                  </w:divBdr>
                  <w:divsChild>
                    <w:div w:id="1779570078">
                      <w:marLeft w:val="0"/>
                      <w:marRight w:val="0"/>
                      <w:marTop w:val="0"/>
                      <w:marBottom w:val="0"/>
                      <w:divBdr>
                        <w:top w:val="none" w:sz="0" w:space="0" w:color="auto"/>
                        <w:left w:val="none" w:sz="0" w:space="0" w:color="auto"/>
                        <w:bottom w:val="none" w:sz="0" w:space="0" w:color="auto"/>
                        <w:right w:val="none" w:sz="0" w:space="0" w:color="auto"/>
                      </w:divBdr>
                      <w:divsChild>
                        <w:div w:id="223220543">
                          <w:marLeft w:val="115"/>
                          <w:marRight w:val="115"/>
                          <w:marTop w:val="0"/>
                          <w:marBottom w:val="0"/>
                          <w:divBdr>
                            <w:top w:val="none" w:sz="0" w:space="0" w:color="auto"/>
                            <w:left w:val="none" w:sz="0" w:space="0" w:color="auto"/>
                            <w:bottom w:val="none" w:sz="0" w:space="0" w:color="auto"/>
                            <w:right w:val="none" w:sz="0" w:space="0" w:color="auto"/>
                          </w:divBdr>
                          <w:divsChild>
                            <w:div w:id="860167520">
                              <w:marLeft w:val="0"/>
                              <w:marRight w:val="0"/>
                              <w:marTop w:val="0"/>
                              <w:marBottom w:val="276"/>
                              <w:divBdr>
                                <w:top w:val="none" w:sz="0" w:space="0" w:color="auto"/>
                                <w:left w:val="none" w:sz="0" w:space="0" w:color="auto"/>
                                <w:bottom w:val="dotted" w:sz="4" w:space="14" w:color="CCCCCC"/>
                                <w:right w:val="none" w:sz="0" w:space="0" w:color="auto"/>
                              </w:divBdr>
                              <w:divsChild>
                                <w:div w:id="1095513994">
                                  <w:marLeft w:val="0"/>
                                  <w:marRight w:val="0"/>
                                  <w:marTop w:val="0"/>
                                  <w:marBottom w:val="0"/>
                                  <w:divBdr>
                                    <w:top w:val="none" w:sz="0" w:space="0" w:color="auto"/>
                                    <w:left w:val="none" w:sz="0" w:space="0" w:color="auto"/>
                                    <w:bottom w:val="none" w:sz="0" w:space="0" w:color="auto"/>
                                    <w:right w:val="none" w:sz="0" w:space="0" w:color="auto"/>
                                  </w:divBdr>
                                  <w:divsChild>
                                    <w:div w:id="1079405380">
                                      <w:marLeft w:val="0"/>
                                      <w:marRight w:val="0"/>
                                      <w:marTop w:val="0"/>
                                      <w:marBottom w:val="0"/>
                                      <w:divBdr>
                                        <w:top w:val="none" w:sz="0" w:space="0" w:color="auto"/>
                                        <w:left w:val="none" w:sz="0" w:space="0" w:color="auto"/>
                                        <w:bottom w:val="none" w:sz="0" w:space="0" w:color="auto"/>
                                        <w:right w:val="none" w:sz="0" w:space="0" w:color="auto"/>
                                      </w:divBdr>
                                    </w:div>
                                    <w:div w:id="206906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931147">
      <w:bodyDiv w:val="1"/>
      <w:marLeft w:val="0"/>
      <w:marRight w:val="0"/>
      <w:marTop w:val="0"/>
      <w:marBottom w:val="0"/>
      <w:divBdr>
        <w:top w:val="none" w:sz="0" w:space="0" w:color="auto"/>
        <w:left w:val="none" w:sz="0" w:space="0" w:color="auto"/>
        <w:bottom w:val="none" w:sz="0" w:space="0" w:color="auto"/>
        <w:right w:val="none" w:sz="0" w:space="0" w:color="auto"/>
      </w:divBdr>
      <w:divsChild>
        <w:div w:id="2124766628">
          <w:marLeft w:val="0"/>
          <w:marRight w:val="0"/>
          <w:marTop w:val="0"/>
          <w:marBottom w:val="0"/>
          <w:divBdr>
            <w:top w:val="none" w:sz="0" w:space="0" w:color="auto"/>
            <w:left w:val="none" w:sz="0" w:space="0" w:color="auto"/>
            <w:bottom w:val="none" w:sz="0" w:space="0" w:color="auto"/>
            <w:right w:val="none" w:sz="0" w:space="0" w:color="auto"/>
          </w:divBdr>
          <w:divsChild>
            <w:div w:id="1374038439">
              <w:marLeft w:val="0"/>
              <w:marRight w:val="0"/>
              <w:marTop w:val="0"/>
              <w:marBottom w:val="0"/>
              <w:divBdr>
                <w:top w:val="none" w:sz="0" w:space="0" w:color="auto"/>
                <w:left w:val="none" w:sz="0" w:space="0" w:color="auto"/>
                <w:bottom w:val="none" w:sz="0" w:space="0" w:color="auto"/>
                <w:right w:val="none" w:sz="0" w:space="0" w:color="auto"/>
              </w:divBdr>
              <w:divsChild>
                <w:div w:id="217131290">
                  <w:marLeft w:val="115"/>
                  <w:marRight w:val="115"/>
                  <w:marTop w:val="0"/>
                  <w:marBottom w:val="0"/>
                  <w:divBdr>
                    <w:top w:val="none" w:sz="0" w:space="0" w:color="auto"/>
                    <w:left w:val="none" w:sz="0" w:space="0" w:color="auto"/>
                    <w:bottom w:val="none" w:sz="0" w:space="0" w:color="auto"/>
                    <w:right w:val="none" w:sz="0" w:space="0" w:color="auto"/>
                  </w:divBdr>
                  <w:divsChild>
                    <w:div w:id="1497377672">
                      <w:marLeft w:val="0"/>
                      <w:marRight w:val="0"/>
                      <w:marTop w:val="0"/>
                      <w:marBottom w:val="0"/>
                      <w:divBdr>
                        <w:top w:val="none" w:sz="0" w:space="0" w:color="auto"/>
                        <w:left w:val="none" w:sz="0" w:space="0" w:color="auto"/>
                        <w:bottom w:val="none" w:sz="0" w:space="0" w:color="auto"/>
                        <w:right w:val="none" w:sz="0" w:space="0" w:color="auto"/>
                      </w:divBdr>
                      <w:divsChild>
                        <w:div w:id="1490554276">
                          <w:marLeft w:val="115"/>
                          <w:marRight w:val="115"/>
                          <w:marTop w:val="0"/>
                          <w:marBottom w:val="0"/>
                          <w:divBdr>
                            <w:top w:val="none" w:sz="0" w:space="0" w:color="auto"/>
                            <w:left w:val="none" w:sz="0" w:space="0" w:color="auto"/>
                            <w:bottom w:val="none" w:sz="0" w:space="0" w:color="auto"/>
                            <w:right w:val="none" w:sz="0" w:space="0" w:color="auto"/>
                          </w:divBdr>
                          <w:divsChild>
                            <w:div w:id="795677703">
                              <w:marLeft w:val="0"/>
                              <w:marRight w:val="0"/>
                              <w:marTop w:val="0"/>
                              <w:marBottom w:val="276"/>
                              <w:divBdr>
                                <w:top w:val="none" w:sz="0" w:space="0" w:color="auto"/>
                                <w:left w:val="none" w:sz="0" w:space="0" w:color="auto"/>
                                <w:bottom w:val="dotted" w:sz="4" w:space="14" w:color="CCCCCC"/>
                                <w:right w:val="none" w:sz="0" w:space="0" w:color="auto"/>
                              </w:divBdr>
                              <w:divsChild>
                                <w:div w:id="29853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264066">
      <w:bodyDiv w:val="1"/>
      <w:marLeft w:val="0"/>
      <w:marRight w:val="0"/>
      <w:marTop w:val="0"/>
      <w:marBottom w:val="0"/>
      <w:divBdr>
        <w:top w:val="none" w:sz="0" w:space="0" w:color="auto"/>
        <w:left w:val="none" w:sz="0" w:space="0" w:color="auto"/>
        <w:bottom w:val="none" w:sz="0" w:space="0" w:color="auto"/>
        <w:right w:val="none" w:sz="0" w:space="0" w:color="auto"/>
      </w:divBdr>
      <w:divsChild>
        <w:div w:id="338852051">
          <w:marLeft w:val="0"/>
          <w:marRight w:val="0"/>
          <w:marTop w:val="0"/>
          <w:marBottom w:val="0"/>
          <w:divBdr>
            <w:top w:val="none" w:sz="0" w:space="0" w:color="auto"/>
            <w:left w:val="none" w:sz="0" w:space="0" w:color="auto"/>
            <w:bottom w:val="none" w:sz="0" w:space="0" w:color="auto"/>
            <w:right w:val="none" w:sz="0" w:space="0" w:color="auto"/>
          </w:divBdr>
          <w:divsChild>
            <w:div w:id="1422330981">
              <w:marLeft w:val="0"/>
              <w:marRight w:val="0"/>
              <w:marTop w:val="0"/>
              <w:marBottom w:val="0"/>
              <w:divBdr>
                <w:top w:val="none" w:sz="0" w:space="0" w:color="auto"/>
                <w:left w:val="none" w:sz="0" w:space="0" w:color="auto"/>
                <w:bottom w:val="none" w:sz="0" w:space="0" w:color="auto"/>
                <w:right w:val="none" w:sz="0" w:space="0" w:color="auto"/>
              </w:divBdr>
              <w:divsChild>
                <w:div w:id="173695479">
                  <w:marLeft w:val="115"/>
                  <w:marRight w:val="115"/>
                  <w:marTop w:val="0"/>
                  <w:marBottom w:val="0"/>
                  <w:divBdr>
                    <w:top w:val="none" w:sz="0" w:space="0" w:color="auto"/>
                    <w:left w:val="none" w:sz="0" w:space="0" w:color="auto"/>
                    <w:bottom w:val="none" w:sz="0" w:space="0" w:color="auto"/>
                    <w:right w:val="none" w:sz="0" w:space="0" w:color="auto"/>
                  </w:divBdr>
                  <w:divsChild>
                    <w:div w:id="1979452013">
                      <w:marLeft w:val="0"/>
                      <w:marRight w:val="0"/>
                      <w:marTop w:val="0"/>
                      <w:marBottom w:val="0"/>
                      <w:divBdr>
                        <w:top w:val="none" w:sz="0" w:space="0" w:color="auto"/>
                        <w:left w:val="none" w:sz="0" w:space="0" w:color="auto"/>
                        <w:bottom w:val="none" w:sz="0" w:space="0" w:color="auto"/>
                        <w:right w:val="none" w:sz="0" w:space="0" w:color="auto"/>
                      </w:divBdr>
                      <w:divsChild>
                        <w:div w:id="993027833">
                          <w:marLeft w:val="115"/>
                          <w:marRight w:val="115"/>
                          <w:marTop w:val="0"/>
                          <w:marBottom w:val="0"/>
                          <w:divBdr>
                            <w:top w:val="none" w:sz="0" w:space="0" w:color="auto"/>
                            <w:left w:val="none" w:sz="0" w:space="0" w:color="auto"/>
                            <w:bottom w:val="none" w:sz="0" w:space="0" w:color="auto"/>
                            <w:right w:val="none" w:sz="0" w:space="0" w:color="auto"/>
                          </w:divBdr>
                          <w:divsChild>
                            <w:div w:id="32579631">
                              <w:marLeft w:val="0"/>
                              <w:marRight w:val="0"/>
                              <w:marTop w:val="0"/>
                              <w:marBottom w:val="276"/>
                              <w:divBdr>
                                <w:top w:val="none" w:sz="0" w:space="0" w:color="auto"/>
                                <w:left w:val="none" w:sz="0" w:space="0" w:color="auto"/>
                                <w:bottom w:val="dotted" w:sz="4" w:space="14" w:color="CCCCCC"/>
                                <w:right w:val="none" w:sz="0" w:space="0" w:color="auto"/>
                              </w:divBdr>
                              <w:divsChild>
                                <w:div w:id="36256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412855">
      <w:bodyDiv w:val="1"/>
      <w:marLeft w:val="0"/>
      <w:marRight w:val="0"/>
      <w:marTop w:val="0"/>
      <w:marBottom w:val="0"/>
      <w:divBdr>
        <w:top w:val="none" w:sz="0" w:space="0" w:color="auto"/>
        <w:left w:val="none" w:sz="0" w:space="0" w:color="auto"/>
        <w:bottom w:val="none" w:sz="0" w:space="0" w:color="auto"/>
        <w:right w:val="none" w:sz="0" w:space="0" w:color="auto"/>
      </w:divBdr>
      <w:divsChild>
        <w:div w:id="1405223966">
          <w:marLeft w:val="0"/>
          <w:marRight w:val="0"/>
          <w:marTop w:val="0"/>
          <w:marBottom w:val="0"/>
          <w:divBdr>
            <w:top w:val="none" w:sz="0" w:space="0" w:color="auto"/>
            <w:left w:val="none" w:sz="0" w:space="0" w:color="auto"/>
            <w:bottom w:val="none" w:sz="0" w:space="0" w:color="auto"/>
            <w:right w:val="none" w:sz="0" w:space="0" w:color="auto"/>
          </w:divBdr>
          <w:divsChild>
            <w:div w:id="387264220">
              <w:marLeft w:val="0"/>
              <w:marRight w:val="0"/>
              <w:marTop w:val="0"/>
              <w:marBottom w:val="0"/>
              <w:divBdr>
                <w:top w:val="none" w:sz="0" w:space="0" w:color="auto"/>
                <w:left w:val="none" w:sz="0" w:space="0" w:color="auto"/>
                <w:bottom w:val="none" w:sz="0" w:space="0" w:color="auto"/>
                <w:right w:val="none" w:sz="0" w:space="0" w:color="auto"/>
              </w:divBdr>
              <w:divsChild>
                <w:div w:id="1624000671">
                  <w:marLeft w:val="115"/>
                  <w:marRight w:val="115"/>
                  <w:marTop w:val="0"/>
                  <w:marBottom w:val="0"/>
                  <w:divBdr>
                    <w:top w:val="none" w:sz="0" w:space="0" w:color="auto"/>
                    <w:left w:val="none" w:sz="0" w:space="0" w:color="auto"/>
                    <w:bottom w:val="none" w:sz="0" w:space="0" w:color="auto"/>
                    <w:right w:val="none" w:sz="0" w:space="0" w:color="auto"/>
                  </w:divBdr>
                  <w:divsChild>
                    <w:div w:id="26833243">
                      <w:marLeft w:val="0"/>
                      <w:marRight w:val="0"/>
                      <w:marTop w:val="0"/>
                      <w:marBottom w:val="0"/>
                      <w:divBdr>
                        <w:top w:val="none" w:sz="0" w:space="0" w:color="auto"/>
                        <w:left w:val="none" w:sz="0" w:space="0" w:color="auto"/>
                        <w:bottom w:val="none" w:sz="0" w:space="0" w:color="auto"/>
                        <w:right w:val="none" w:sz="0" w:space="0" w:color="auto"/>
                      </w:divBdr>
                      <w:divsChild>
                        <w:div w:id="140125000">
                          <w:marLeft w:val="115"/>
                          <w:marRight w:val="115"/>
                          <w:marTop w:val="0"/>
                          <w:marBottom w:val="0"/>
                          <w:divBdr>
                            <w:top w:val="none" w:sz="0" w:space="0" w:color="auto"/>
                            <w:left w:val="none" w:sz="0" w:space="0" w:color="auto"/>
                            <w:bottom w:val="none" w:sz="0" w:space="0" w:color="auto"/>
                            <w:right w:val="none" w:sz="0" w:space="0" w:color="auto"/>
                          </w:divBdr>
                          <w:divsChild>
                            <w:div w:id="2088451957">
                              <w:marLeft w:val="0"/>
                              <w:marRight w:val="0"/>
                              <w:marTop w:val="0"/>
                              <w:marBottom w:val="276"/>
                              <w:divBdr>
                                <w:top w:val="none" w:sz="0" w:space="0" w:color="auto"/>
                                <w:left w:val="none" w:sz="0" w:space="0" w:color="auto"/>
                                <w:bottom w:val="dotted" w:sz="4" w:space="14" w:color="CCCCCC"/>
                                <w:right w:val="none" w:sz="0" w:space="0" w:color="auto"/>
                              </w:divBdr>
                              <w:divsChild>
                                <w:div w:id="304504418">
                                  <w:marLeft w:val="0"/>
                                  <w:marRight w:val="0"/>
                                  <w:marTop w:val="0"/>
                                  <w:marBottom w:val="0"/>
                                  <w:divBdr>
                                    <w:top w:val="none" w:sz="0" w:space="0" w:color="auto"/>
                                    <w:left w:val="none" w:sz="0" w:space="0" w:color="auto"/>
                                    <w:bottom w:val="none" w:sz="0" w:space="0" w:color="auto"/>
                                    <w:right w:val="none" w:sz="0" w:space="0" w:color="auto"/>
                                  </w:divBdr>
                                  <w:divsChild>
                                    <w:div w:id="386613883">
                                      <w:marLeft w:val="0"/>
                                      <w:marRight w:val="0"/>
                                      <w:marTop w:val="0"/>
                                      <w:marBottom w:val="0"/>
                                      <w:divBdr>
                                        <w:top w:val="none" w:sz="0" w:space="0" w:color="auto"/>
                                        <w:left w:val="none" w:sz="0" w:space="0" w:color="auto"/>
                                        <w:bottom w:val="none" w:sz="0" w:space="0" w:color="auto"/>
                                        <w:right w:val="none" w:sz="0" w:space="0" w:color="auto"/>
                                      </w:divBdr>
                                    </w:div>
                                    <w:div w:id="73767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870186">
      <w:bodyDiv w:val="1"/>
      <w:marLeft w:val="0"/>
      <w:marRight w:val="0"/>
      <w:marTop w:val="0"/>
      <w:marBottom w:val="0"/>
      <w:divBdr>
        <w:top w:val="none" w:sz="0" w:space="0" w:color="auto"/>
        <w:left w:val="none" w:sz="0" w:space="0" w:color="auto"/>
        <w:bottom w:val="none" w:sz="0" w:space="0" w:color="auto"/>
        <w:right w:val="none" w:sz="0" w:space="0" w:color="auto"/>
      </w:divBdr>
      <w:divsChild>
        <w:div w:id="1312759323">
          <w:marLeft w:val="0"/>
          <w:marRight w:val="0"/>
          <w:marTop w:val="0"/>
          <w:marBottom w:val="0"/>
          <w:divBdr>
            <w:top w:val="none" w:sz="0" w:space="0" w:color="auto"/>
            <w:left w:val="none" w:sz="0" w:space="0" w:color="auto"/>
            <w:bottom w:val="none" w:sz="0" w:space="0" w:color="auto"/>
            <w:right w:val="none" w:sz="0" w:space="0" w:color="auto"/>
          </w:divBdr>
          <w:divsChild>
            <w:div w:id="1322849233">
              <w:marLeft w:val="0"/>
              <w:marRight w:val="0"/>
              <w:marTop w:val="0"/>
              <w:marBottom w:val="0"/>
              <w:divBdr>
                <w:top w:val="none" w:sz="0" w:space="0" w:color="auto"/>
                <w:left w:val="none" w:sz="0" w:space="0" w:color="auto"/>
                <w:bottom w:val="none" w:sz="0" w:space="0" w:color="auto"/>
                <w:right w:val="none" w:sz="0" w:space="0" w:color="auto"/>
              </w:divBdr>
              <w:divsChild>
                <w:div w:id="229266803">
                  <w:marLeft w:val="115"/>
                  <w:marRight w:val="115"/>
                  <w:marTop w:val="0"/>
                  <w:marBottom w:val="0"/>
                  <w:divBdr>
                    <w:top w:val="none" w:sz="0" w:space="0" w:color="auto"/>
                    <w:left w:val="none" w:sz="0" w:space="0" w:color="auto"/>
                    <w:bottom w:val="none" w:sz="0" w:space="0" w:color="auto"/>
                    <w:right w:val="none" w:sz="0" w:space="0" w:color="auto"/>
                  </w:divBdr>
                  <w:divsChild>
                    <w:div w:id="325862819">
                      <w:marLeft w:val="0"/>
                      <w:marRight w:val="0"/>
                      <w:marTop w:val="0"/>
                      <w:marBottom w:val="0"/>
                      <w:divBdr>
                        <w:top w:val="none" w:sz="0" w:space="0" w:color="auto"/>
                        <w:left w:val="none" w:sz="0" w:space="0" w:color="auto"/>
                        <w:bottom w:val="none" w:sz="0" w:space="0" w:color="auto"/>
                        <w:right w:val="none" w:sz="0" w:space="0" w:color="auto"/>
                      </w:divBdr>
                      <w:divsChild>
                        <w:div w:id="1106341719">
                          <w:marLeft w:val="115"/>
                          <w:marRight w:val="115"/>
                          <w:marTop w:val="0"/>
                          <w:marBottom w:val="0"/>
                          <w:divBdr>
                            <w:top w:val="none" w:sz="0" w:space="0" w:color="auto"/>
                            <w:left w:val="none" w:sz="0" w:space="0" w:color="auto"/>
                            <w:bottom w:val="none" w:sz="0" w:space="0" w:color="auto"/>
                            <w:right w:val="none" w:sz="0" w:space="0" w:color="auto"/>
                          </w:divBdr>
                          <w:divsChild>
                            <w:div w:id="321084934">
                              <w:marLeft w:val="0"/>
                              <w:marRight w:val="0"/>
                              <w:marTop w:val="0"/>
                              <w:marBottom w:val="276"/>
                              <w:divBdr>
                                <w:top w:val="none" w:sz="0" w:space="0" w:color="auto"/>
                                <w:left w:val="none" w:sz="0" w:space="0" w:color="auto"/>
                                <w:bottom w:val="dotted" w:sz="4" w:space="14" w:color="CCCCCC"/>
                                <w:right w:val="none" w:sz="0" w:space="0" w:color="auto"/>
                              </w:divBdr>
                              <w:divsChild>
                                <w:div w:id="1772159417">
                                  <w:marLeft w:val="0"/>
                                  <w:marRight w:val="0"/>
                                  <w:marTop w:val="0"/>
                                  <w:marBottom w:val="0"/>
                                  <w:divBdr>
                                    <w:top w:val="none" w:sz="0" w:space="0" w:color="auto"/>
                                    <w:left w:val="none" w:sz="0" w:space="0" w:color="auto"/>
                                    <w:bottom w:val="none" w:sz="0" w:space="0" w:color="auto"/>
                                    <w:right w:val="none" w:sz="0" w:space="0" w:color="auto"/>
                                  </w:divBdr>
                                  <w:divsChild>
                                    <w:div w:id="410734366">
                                      <w:marLeft w:val="0"/>
                                      <w:marRight w:val="0"/>
                                      <w:marTop w:val="0"/>
                                      <w:marBottom w:val="0"/>
                                      <w:divBdr>
                                        <w:top w:val="none" w:sz="0" w:space="0" w:color="auto"/>
                                        <w:left w:val="none" w:sz="0" w:space="0" w:color="auto"/>
                                        <w:bottom w:val="none" w:sz="0" w:space="0" w:color="auto"/>
                                        <w:right w:val="none" w:sz="0" w:space="0" w:color="auto"/>
                                      </w:divBdr>
                                    </w:div>
                                    <w:div w:id="7393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402316">
      <w:bodyDiv w:val="1"/>
      <w:marLeft w:val="0"/>
      <w:marRight w:val="0"/>
      <w:marTop w:val="0"/>
      <w:marBottom w:val="0"/>
      <w:divBdr>
        <w:top w:val="none" w:sz="0" w:space="0" w:color="auto"/>
        <w:left w:val="none" w:sz="0" w:space="0" w:color="auto"/>
        <w:bottom w:val="none" w:sz="0" w:space="0" w:color="auto"/>
        <w:right w:val="none" w:sz="0" w:space="0" w:color="auto"/>
      </w:divBdr>
      <w:divsChild>
        <w:div w:id="1156073103">
          <w:marLeft w:val="0"/>
          <w:marRight w:val="0"/>
          <w:marTop w:val="0"/>
          <w:marBottom w:val="0"/>
          <w:divBdr>
            <w:top w:val="none" w:sz="0" w:space="0" w:color="auto"/>
            <w:left w:val="none" w:sz="0" w:space="0" w:color="auto"/>
            <w:bottom w:val="none" w:sz="0" w:space="0" w:color="auto"/>
            <w:right w:val="none" w:sz="0" w:space="0" w:color="auto"/>
          </w:divBdr>
          <w:divsChild>
            <w:div w:id="2000577802">
              <w:marLeft w:val="0"/>
              <w:marRight w:val="0"/>
              <w:marTop w:val="0"/>
              <w:marBottom w:val="0"/>
              <w:divBdr>
                <w:top w:val="none" w:sz="0" w:space="0" w:color="auto"/>
                <w:left w:val="none" w:sz="0" w:space="0" w:color="auto"/>
                <w:bottom w:val="none" w:sz="0" w:space="0" w:color="auto"/>
                <w:right w:val="none" w:sz="0" w:space="0" w:color="auto"/>
              </w:divBdr>
              <w:divsChild>
                <w:div w:id="22481640">
                  <w:marLeft w:val="115"/>
                  <w:marRight w:val="115"/>
                  <w:marTop w:val="0"/>
                  <w:marBottom w:val="0"/>
                  <w:divBdr>
                    <w:top w:val="none" w:sz="0" w:space="0" w:color="auto"/>
                    <w:left w:val="none" w:sz="0" w:space="0" w:color="auto"/>
                    <w:bottom w:val="none" w:sz="0" w:space="0" w:color="auto"/>
                    <w:right w:val="none" w:sz="0" w:space="0" w:color="auto"/>
                  </w:divBdr>
                  <w:divsChild>
                    <w:div w:id="1352491618">
                      <w:marLeft w:val="0"/>
                      <w:marRight w:val="0"/>
                      <w:marTop w:val="0"/>
                      <w:marBottom w:val="0"/>
                      <w:divBdr>
                        <w:top w:val="none" w:sz="0" w:space="0" w:color="auto"/>
                        <w:left w:val="none" w:sz="0" w:space="0" w:color="auto"/>
                        <w:bottom w:val="none" w:sz="0" w:space="0" w:color="auto"/>
                        <w:right w:val="none" w:sz="0" w:space="0" w:color="auto"/>
                      </w:divBdr>
                      <w:divsChild>
                        <w:div w:id="195317858">
                          <w:marLeft w:val="115"/>
                          <w:marRight w:val="115"/>
                          <w:marTop w:val="0"/>
                          <w:marBottom w:val="0"/>
                          <w:divBdr>
                            <w:top w:val="none" w:sz="0" w:space="0" w:color="auto"/>
                            <w:left w:val="none" w:sz="0" w:space="0" w:color="auto"/>
                            <w:bottom w:val="none" w:sz="0" w:space="0" w:color="auto"/>
                            <w:right w:val="none" w:sz="0" w:space="0" w:color="auto"/>
                          </w:divBdr>
                          <w:divsChild>
                            <w:div w:id="1140461312">
                              <w:marLeft w:val="0"/>
                              <w:marRight w:val="0"/>
                              <w:marTop w:val="0"/>
                              <w:marBottom w:val="276"/>
                              <w:divBdr>
                                <w:top w:val="none" w:sz="0" w:space="0" w:color="auto"/>
                                <w:left w:val="none" w:sz="0" w:space="0" w:color="auto"/>
                                <w:bottom w:val="dotted" w:sz="4" w:space="14" w:color="CCCCCC"/>
                                <w:right w:val="none" w:sz="0" w:space="0" w:color="auto"/>
                              </w:divBdr>
                              <w:divsChild>
                                <w:div w:id="74252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99363-73DE-4CB2-A1C4-58C41D425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79</Pages>
  <Words>27560</Words>
  <Characters>148825</Characters>
  <Application>Microsoft Office Word</Application>
  <DocSecurity>0</DocSecurity>
  <Lines>1240</Lines>
  <Paragraphs>352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176033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elisabete</dc:creator>
  <cp:lastModifiedBy>elisabete</cp:lastModifiedBy>
  <cp:revision>3</cp:revision>
  <dcterms:created xsi:type="dcterms:W3CDTF">2011-04-19T15:17:00Z</dcterms:created>
  <dcterms:modified xsi:type="dcterms:W3CDTF">2011-04-19T16:31:00Z</dcterms:modified>
</cp:coreProperties>
</file>