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414126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:rsidR="00591516" w:rsidRDefault="00A25BF4">
          <w:r>
            <w:rPr>
              <w:noProof/>
            </w:rPr>
            <w:pict>
              <v:group id="_x0000_s1026" style="position:absolute;margin-left:1.95pt;margin-top:4.2pt;width:595.05pt;height:677.4pt;z-index:251660288;mso-width-percent:1000;mso-position-horizontal-relative:page;mso-position-vertical-relative:margin;mso-width-percent:1000;mso-height-relative:margin" coordorigin=",1440" coordsize="12239,12960" o:allowincell="f">
                <v:group id="_x0000_s1027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028" style="position:absolute;left:-6;top:3717;width:12189;height:3550" coordorigin="18,7468" coordsize="12189,3550">
                    <v:shape id="_x0000_s1029" style="position:absolute;left:18;top:7837;width:7132;height:2863;mso-width-relative:page;mso-height-relative:page" coordsize="7132,2863" path="m,l17,2863,7132,2578r,-2378l,xe" fillcolor="#e80f0a" stroked="f">
                      <v:fill opacity=".5"/>
                      <v:path arrowok="t"/>
                    </v:shape>
                    <v:shape id="_x0000_s1030" style="position:absolute;left:7150;top:7468;width:3466;height:3550;mso-position-vertical:absolute;mso-width-relative:page;mso-height-relative:page" coordsize="3466,3550" path="m,569l,2930r3466,620l3466,,,569xe" fillcolor="#e80f0a" stroked="f">
                      <v:fill opacity=".5"/>
                      <v:path arrowok="t"/>
                    </v:shape>
                    <v:shape id="_x0000_s1031" style="position:absolute;left:10616;top:7468;width:1591;height:3550;mso-width-relative:page;mso-height-relative:page" coordsize="1591,3550" path="m,l,3550,1591,2746r,-2009l,xe" fillcolor="#404040 [2429]" stroked="f">
                      <v:fill opacity=".5"/>
                      <v:path arrowok="t"/>
                    </v:shape>
                  </v:group>
                  <v:shape id="_x0000_s1032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033" style="position:absolute;left:4104;top:3399;width:3985;height:4236;mso-width-relative:page;mso-height-relative:page" coordsize="3985,4236" path="m,l,4236,3985,3349r,-2428l,xe" fillcolor="#a20000" stroked="f">
                    <v:path arrowok="t"/>
                  </v:shape>
                  <v:shape id="_x0000_s1034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035" style="position:absolute;left:17;top:3617;width:2076;height:3851;mso-width-relative:page;mso-height-relative:page" coordsize="2076,3851" path="m,921l2060,r16,3851l,2981,,921xe" fillcolor="gray [1629]" stroked="f">
                    <v:fill opacity="45875f"/>
                    <v:path arrowok="t"/>
                  </v:shape>
                  <v:shape id="_x0000_s1036" style="position:absolute;left:2077;top:3617;width:6011;height:3835;mso-width-relative:page;mso-height-relative:page" coordsize="6011,3835" path="m,l17,3835,6011,2629r,-1390l,xe" fillcolor="#c00000" stroked="f">
                    <v:fill opacity="45875f"/>
                    <v:path arrowok="t"/>
                  </v:shape>
                  <v:shape id="_x0000_s1037" style="position:absolute;left:8088;top:3835;width:4102;height:3432;mso-width-relative:page;mso-height-relative:page" coordsize="4102,3432" path="m,1038l,2411,4102,3432,4102,,,1038xe" fillcolor="#9c0606" stroked="f">
                    <v:fill opacity="45875f"/>
                    <v:path arrowok="t"/>
                  </v:shape>
                </v:group>
                <v:rect id="_x0000_s1038" style="position:absolute;left:1800;top:1440;width:8638;height:2655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038">
                    <w:txbxContent>
                      <w:p w:rsidR="007528FA" w:rsidRDefault="007528FA" w:rsidP="005E054D">
                        <w:pPr>
                          <w:spacing w:after="0"/>
                          <w:jc w:val="center"/>
                          <w:rPr>
                            <w:noProof/>
                            <w:lang w:eastAsia="pt-PT"/>
                          </w:rPr>
                        </w:pPr>
                      </w:p>
                      <w:p w:rsidR="007528FA" w:rsidRDefault="007528FA" w:rsidP="005E054D">
                        <w:pPr>
                          <w:spacing w:after="0"/>
                          <w:jc w:val="center"/>
                          <w:rPr>
                            <w:noProof/>
                            <w:lang w:eastAsia="pt-PT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sz w:val="20"/>
                            <w:szCs w:val="20"/>
                            <w:lang w:eastAsia="pt-PT"/>
                          </w:rPr>
                          <w:drawing>
                            <wp:inline distT="0" distB="0" distL="0" distR="0">
                              <wp:extent cx="2591377" cy="1286886"/>
                              <wp:effectExtent l="19050" t="0" r="0" b="0"/>
                              <wp:docPr id="2" name="il_fi" descr="http://www.estig.ipbeja.pt/~issb/logo_estig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l_fi" descr="http://www.estig.ipbeja.pt/~issb/logo_estig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92626" cy="12875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7528FA" w:rsidRDefault="007528FA" w:rsidP="005E054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_x0000_s1039" style="position:absolute;left:6494;top:11160;width:4998;height:1010;mso-position-horizontal-relative:margin;mso-position-vertical-relative:margin" filled="f" stroked="f">
                  <v:textbox style="mso-next-textbox:#_x0000_s1039">
                    <w:txbxContent>
                      <w:p w:rsidR="007528FA" w:rsidRPr="00777437" w:rsidRDefault="007528FA" w:rsidP="00591516">
                        <w:pPr>
                          <w:rPr>
                            <w:rFonts w:ascii="Arial" w:hAnsi="Arial" w:cs="Arial"/>
                            <w:b/>
                            <w:color w:val="FFFFFF" w:themeColor="background1"/>
                            <w:sz w:val="40"/>
                            <w:szCs w:val="50"/>
                          </w:rPr>
                        </w:pPr>
                        <w:r w:rsidRPr="00777437">
                          <w:rPr>
                            <w:rFonts w:ascii="Arial" w:hAnsi="Arial" w:cs="Arial"/>
                            <w:b/>
                            <w:color w:val="FFFFFF" w:themeColor="background1"/>
                            <w:sz w:val="40"/>
                            <w:szCs w:val="50"/>
                          </w:rPr>
                          <w:t>Disciplina: Auditoria</w:t>
                        </w:r>
                      </w:p>
                      <w:p w:rsidR="007528FA" w:rsidRPr="00DA5E83" w:rsidRDefault="007528FA" w:rsidP="00591516">
                        <w:pPr>
                          <w:rPr>
                            <w:b/>
                            <w:color w:val="FFFFFF" w:themeColor="background1"/>
                            <w:sz w:val="14"/>
                            <w:szCs w:val="50"/>
                          </w:rPr>
                        </w:pPr>
                      </w:p>
                    </w:txbxContent>
                  </v:textbox>
                </v:rect>
                <v:rect id="_x0000_s1040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040">
                    <w:txbxContent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color w:val="595959" w:themeColor="text1" w:themeTint="A6"/>
                            <w:sz w:val="36"/>
                            <w:szCs w:val="36"/>
                          </w:rPr>
                          <w:alias w:val="Título"/>
                          <w:id w:val="9069471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7528FA" w:rsidRDefault="007528FA" w:rsidP="00F101C5">
                            <w:pPr>
                              <w:spacing w:after="0" w:line="600" w:lineRule="auto"/>
                              <w:jc w:val="center"/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  <w:r w:rsidRPr="00777437"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36"/>
                                <w:szCs w:val="36"/>
                              </w:rPr>
                              <w:t>SNCPE vs NCM</w:t>
                            </w:r>
                            <w:r w:rsidR="00777437" w:rsidRPr="00777437">
                              <w:rPr>
                                <w:rFonts w:ascii="Arial" w:hAnsi="Arial" w:cs="Arial"/>
                                <w:b/>
                                <w:bCs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 – Principais Diferenças</w:t>
                            </w:r>
                          </w:p>
                        </w:sdtContent>
                      </w:sdt>
                      <w:p w:rsidR="007528FA" w:rsidRDefault="007528FA">
                        <w:pPr>
                          <w:rPr>
                            <w:b/>
                            <w:bCs/>
                            <w:color w:val="4F81BD" w:themeColor="accent1"/>
                            <w:sz w:val="40"/>
                            <w:szCs w:val="40"/>
                          </w:rPr>
                        </w:pPr>
                      </w:p>
                      <w:p w:rsidR="007528FA" w:rsidRDefault="007528FA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  <w:p w:rsidR="007528FA" w:rsidRDefault="007528FA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591516" w:rsidRDefault="00591516"/>
        <w:p w:rsidR="00CF08C1" w:rsidRDefault="00A25BF4" w:rsidP="00CF08C1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  <w:lang w:eastAsia="pt-P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217.95pt;margin-top:269.65pt;width:297pt;height:105.4pt;z-index:251661312" strokecolor="white [3212]">
                <v:textbox>
                  <w:txbxContent>
                    <w:p w:rsidR="00777437" w:rsidRDefault="00777437" w:rsidP="00777437">
                      <w:pPr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>Curso: Gestão de Empresas</w:t>
                      </w:r>
                    </w:p>
                    <w:p w:rsidR="00F101C5" w:rsidRPr="00850E5F" w:rsidRDefault="00F101C5" w:rsidP="00777437">
                      <w:pPr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850E5F"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>Docente: Dr. Orlando Roque</w:t>
                      </w:r>
                    </w:p>
                    <w:p w:rsidR="00F101C5" w:rsidRPr="00850E5F" w:rsidRDefault="00F101C5" w:rsidP="00777437">
                      <w:pPr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850E5F"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>Discente: Simone de Jesus Alexandrino Margarida</w:t>
                      </w:r>
                    </w:p>
                    <w:p w:rsidR="00F101C5" w:rsidRDefault="00F101C5" w:rsidP="00777437">
                      <w:pPr>
                        <w:tabs>
                          <w:tab w:val="left" w:pos="993"/>
                        </w:tabs>
                      </w:pPr>
                      <w:r w:rsidRPr="00850E5F"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850E5F"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>n.º</w:t>
                      </w:r>
                      <w:proofErr w:type="gramEnd"/>
                      <w:r w:rsidRPr="00850E5F">
                        <w:rPr>
                          <w:rFonts w:ascii="Arial" w:hAnsi="Arial" w:cs="Arial"/>
                          <w:color w:val="7F7F7F" w:themeColor="text1" w:themeTint="80"/>
                          <w:sz w:val="24"/>
                          <w:szCs w:val="24"/>
                        </w:rPr>
                        <w:t xml:space="preserve"> 2479</w:t>
                      </w:r>
                    </w:p>
                  </w:txbxContent>
                </v:textbox>
              </v:shape>
            </w:pict>
          </w:r>
          <w:r w:rsidR="00591516" w:rsidRPr="00D95EA7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="Arial" w:hAnsi="Arial" w:cs="Arial"/>
          <w:color w:val="auto"/>
          <w:sz w:val="24"/>
        </w:rPr>
        <w:id w:val="3327203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sdtEndPr>
      <w:sdtContent>
        <w:p w:rsidR="00986EFC" w:rsidRPr="00986EFC" w:rsidRDefault="00986EFC" w:rsidP="00986EFC">
          <w:pPr>
            <w:pStyle w:val="Ttulodondice"/>
            <w:spacing w:after="840" w:line="360" w:lineRule="auto"/>
            <w:rPr>
              <w:rFonts w:ascii="Arial" w:hAnsi="Arial" w:cs="Arial"/>
              <w:color w:val="auto"/>
              <w:sz w:val="24"/>
            </w:rPr>
          </w:pPr>
          <w:r w:rsidRPr="00986EFC">
            <w:rPr>
              <w:rFonts w:ascii="Arial" w:hAnsi="Arial" w:cs="Arial"/>
              <w:color w:val="auto"/>
              <w:sz w:val="24"/>
            </w:rPr>
            <w:t>ÍNDICE</w:t>
          </w:r>
        </w:p>
        <w:p w:rsidR="00986EFC" w:rsidRP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8126195" w:history="1">
            <w:r w:rsidRPr="00986EFC">
              <w:rPr>
                <w:rStyle w:val="Hiperligao"/>
              </w:rPr>
              <w:t>1.</w:t>
            </w:r>
            <w:r w:rsidRPr="00986EFC">
              <w:rPr>
                <w:rFonts w:eastAsiaTheme="minorEastAsia"/>
                <w:lang w:eastAsia="pt-PT"/>
              </w:rPr>
              <w:tab/>
            </w:r>
            <w:r w:rsidRPr="00986EFC">
              <w:rPr>
                <w:rStyle w:val="Hiperligao"/>
              </w:rPr>
              <w:t>INTRODUÇÃO</w:t>
            </w:r>
            <w:r w:rsidRPr="00986EFC">
              <w:rPr>
                <w:webHidden/>
              </w:rPr>
              <w:tab/>
            </w:r>
            <w:r w:rsidRPr="00986EFC">
              <w:rPr>
                <w:webHidden/>
              </w:rPr>
              <w:fldChar w:fldCharType="begin"/>
            </w:r>
            <w:r w:rsidRPr="00986EFC">
              <w:rPr>
                <w:webHidden/>
              </w:rPr>
              <w:instrText xml:space="preserve"> PAGEREF _Toc308126195 \h </w:instrText>
            </w:r>
            <w:r w:rsidRPr="00986EFC">
              <w:rPr>
                <w:webHidden/>
              </w:rPr>
            </w:r>
            <w:r w:rsidRPr="00986EFC"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 w:rsidRPr="00986EFC"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196" w:history="1">
            <w:r w:rsidRPr="00440E8A">
              <w:rPr>
                <w:rStyle w:val="Hiperligao"/>
              </w:rPr>
              <w:t>2.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SNC – NCRF PE vs NCM – BREVE ABORDAGEM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_Toc308126196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197" w:history="1">
            <w:r w:rsidRPr="00440E8A">
              <w:rPr>
                <w:rStyle w:val="Hiperligao"/>
              </w:rPr>
              <w:t>3.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SISTEMA DE NORMALIZAÇÃO CONTABILÍSTICA PARA PEQUENAS ENTIDADES – NCRF-PE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_Toc308126197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198" w:history="1">
            <w:r w:rsidRPr="00440E8A">
              <w:rPr>
                <w:rStyle w:val="Hiperligao"/>
              </w:rPr>
              <w:t>4.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NORMALIZAÇÃO CONTABILÍSTICA PARA MICROENTIDADES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_Toc308126198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199" w:history="1">
            <w:r w:rsidRPr="00440E8A">
              <w:rPr>
                <w:rStyle w:val="Hiperligao"/>
              </w:rPr>
              <w:t>5.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SNC PE e NCM – PRINCIPAIS DIFERENÇAS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_Toc308126199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200" w:history="1">
            <w:r w:rsidRPr="00440E8A">
              <w:rPr>
                <w:rStyle w:val="Hiperligao"/>
              </w:rPr>
              <w:t>6.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CONCLUSÃO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_Toc308126200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pStyle w:val="ndice1"/>
            <w:spacing w:line="360" w:lineRule="auto"/>
            <w:rPr>
              <w:rFonts w:eastAsiaTheme="minorEastAsia"/>
              <w:lang w:eastAsia="pt-PT"/>
            </w:rPr>
          </w:pPr>
          <w:hyperlink w:anchor="_Toc308126201" w:history="1">
            <w:r w:rsidRPr="00440E8A">
              <w:rPr>
                <w:rStyle w:val="Hiperligao"/>
              </w:rPr>
              <w:t>7.</w:t>
            </w:r>
            <w:r>
              <w:rPr>
                <w:rFonts w:eastAsiaTheme="minorEastAsia"/>
                <w:lang w:eastAsia="pt-PT"/>
              </w:rPr>
              <w:tab/>
            </w:r>
            <w:r w:rsidRPr="00440E8A">
              <w:rPr>
                <w:rStyle w:val="Hiperligao"/>
              </w:rPr>
              <w:t>BIBLIOGRAFIA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_Toc308126201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:rsidR="00986EFC" w:rsidRDefault="00986EFC" w:rsidP="00986EFC">
          <w:pPr>
            <w:spacing w:line="360" w:lineRule="auto"/>
          </w:pPr>
          <w:r>
            <w:fldChar w:fldCharType="end"/>
          </w:r>
        </w:p>
      </w:sdtContent>
    </w:sdt>
    <w:p w:rsidR="007528FA" w:rsidRPr="00D95EA7" w:rsidRDefault="007528FA" w:rsidP="00986EFC">
      <w:pPr>
        <w:spacing w:before="120" w:after="120" w:line="360" w:lineRule="auto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7528FA" w:rsidRPr="00D95EA7" w:rsidRDefault="007528FA" w:rsidP="00D95EA7">
      <w:pPr>
        <w:spacing w:before="120" w:after="120" w:line="360" w:lineRule="auto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7528FA" w:rsidRPr="00D95EA7" w:rsidRDefault="007528FA" w:rsidP="00D95EA7">
      <w:pPr>
        <w:spacing w:before="120" w:after="120" w:line="360" w:lineRule="auto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CF08C1" w:rsidRDefault="00CF08C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AB2673" w:rsidRPr="003D2F84" w:rsidRDefault="00CF08C1" w:rsidP="00986EFC">
      <w:pPr>
        <w:pStyle w:val="Ttulo1"/>
        <w:numPr>
          <w:ilvl w:val="0"/>
          <w:numId w:val="14"/>
        </w:numPr>
        <w:ind w:left="1066" w:hanging="357"/>
      </w:pPr>
      <w:bookmarkStart w:id="0" w:name="_Toc308126195"/>
      <w:r w:rsidRPr="003D2F84">
        <w:lastRenderedPageBreak/>
        <w:t>INTRODUÇÃO</w:t>
      </w:r>
      <w:bookmarkEnd w:id="0"/>
    </w:p>
    <w:p w:rsidR="00FB3258" w:rsidRPr="00D95EA7" w:rsidRDefault="00FB3258" w:rsidP="00D95EA7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D692A" w:rsidRPr="00755016" w:rsidRDefault="00E84C69" w:rsidP="0075501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</w:t>
      </w:r>
      <w:r w:rsidR="007B6E3D" w:rsidRPr="00D95EA7">
        <w:rPr>
          <w:rFonts w:ascii="Arial" w:hAnsi="Arial" w:cs="Arial"/>
          <w:bCs/>
          <w:sz w:val="24"/>
          <w:szCs w:val="24"/>
        </w:rPr>
        <w:t xml:space="preserve">a </w:t>
      </w:r>
      <w:r w:rsidR="006D61C1" w:rsidRPr="00D95EA7">
        <w:rPr>
          <w:rFonts w:ascii="Arial" w:hAnsi="Arial" w:cs="Arial"/>
          <w:bCs/>
          <w:sz w:val="24"/>
          <w:szCs w:val="24"/>
        </w:rPr>
        <w:t>necessidade de</w:t>
      </w:r>
      <w:r w:rsidR="007B6E3D" w:rsidRPr="00D95EA7">
        <w:rPr>
          <w:rFonts w:ascii="Arial" w:hAnsi="Arial" w:cs="Arial"/>
          <w:bCs/>
          <w:sz w:val="24"/>
          <w:szCs w:val="24"/>
        </w:rPr>
        <w:t xml:space="preserve"> adaptar o modelo contabilístico nacional aos imperativos comunitários e </w:t>
      </w:r>
      <w:r w:rsidR="007B6E3D" w:rsidRPr="00D95EA7">
        <w:rPr>
          <w:rFonts w:ascii="Arial" w:hAnsi="Arial" w:cs="Arial"/>
          <w:sz w:val="24"/>
          <w:szCs w:val="24"/>
        </w:rPr>
        <w:t>aproximá-lo</w:t>
      </w:r>
      <w:r w:rsidR="002C0E18" w:rsidRPr="00D95EA7">
        <w:rPr>
          <w:rFonts w:ascii="Arial" w:hAnsi="Arial" w:cs="Arial"/>
          <w:sz w:val="24"/>
          <w:szCs w:val="24"/>
        </w:rPr>
        <w:t>, tanto quanto possível, a</w:t>
      </w:r>
      <w:r w:rsidR="007B6E3D" w:rsidRPr="00D95EA7">
        <w:rPr>
          <w:rFonts w:ascii="Arial" w:hAnsi="Arial" w:cs="Arial"/>
          <w:sz w:val="24"/>
          <w:szCs w:val="24"/>
        </w:rPr>
        <w:t>os novos padrões comunitários, para proporcionar a Portugal o alinhamento com as directivas e regulamentos em matéria contabilística da União Europeia, nasce</w:t>
      </w:r>
      <w:r w:rsidR="002C0E18" w:rsidRPr="00D95EA7">
        <w:rPr>
          <w:rFonts w:ascii="Arial" w:hAnsi="Arial" w:cs="Arial"/>
          <w:sz w:val="24"/>
          <w:szCs w:val="24"/>
        </w:rPr>
        <w:t xml:space="preserve"> </w:t>
      </w:r>
      <w:r w:rsidR="007B6E3D" w:rsidRPr="00D95EA7">
        <w:rPr>
          <w:rFonts w:ascii="Arial" w:hAnsi="Arial" w:cs="Arial"/>
          <w:sz w:val="24"/>
          <w:szCs w:val="24"/>
        </w:rPr>
        <w:t xml:space="preserve">o Sistema de Normalização </w:t>
      </w:r>
      <w:r w:rsidR="00850E5F" w:rsidRPr="00D95EA7">
        <w:rPr>
          <w:rFonts w:ascii="Arial" w:hAnsi="Arial" w:cs="Arial"/>
          <w:sz w:val="24"/>
          <w:szCs w:val="24"/>
        </w:rPr>
        <w:t>Contabilística</w:t>
      </w:r>
      <w:r w:rsidR="007B6E3D" w:rsidRPr="00D95EA7">
        <w:rPr>
          <w:rFonts w:ascii="Arial" w:hAnsi="Arial" w:cs="Arial"/>
          <w:sz w:val="24"/>
          <w:szCs w:val="24"/>
        </w:rPr>
        <w:t xml:space="preserve"> (SNC), aprovado pelo Decreto-Lei n.º 158/2009, de 13 de Julho, que vem revogar </w:t>
      </w:r>
      <w:r w:rsidR="007B6E3D" w:rsidRPr="00D95EA7">
        <w:rPr>
          <w:rFonts w:ascii="Arial" w:hAnsi="Arial" w:cs="Arial"/>
          <w:bCs/>
          <w:sz w:val="24"/>
          <w:szCs w:val="24"/>
        </w:rPr>
        <w:t xml:space="preserve">o anterior </w:t>
      </w:r>
      <w:r w:rsidR="007B6E3D" w:rsidRPr="00D95EA7">
        <w:rPr>
          <w:rFonts w:ascii="Arial" w:hAnsi="Arial" w:cs="Arial"/>
          <w:sz w:val="24"/>
          <w:szCs w:val="24"/>
        </w:rPr>
        <w:t xml:space="preserve">modelo nacional de </w:t>
      </w:r>
      <w:r w:rsidR="007B6E3D" w:rsidRPr="00703078">
        <w:rPr>
          <w:rFonts w:ascii="Arial" w:hAnsi="Arial" w:cs="Arial"/>
          <w:sz w:val="24"/>
          <w:szCs w:val="24"/>
        </w:rPr>
        <w:t xml:space="preserve">normalização contabilística para as empresas comerciais e industriais e outras entidades, que aprovara o Plano Oficial de Contabilidade – </w:t>
      </w:r>
      <w:r w:rsidR="007B6E3D" w:rsidRPr="00703078">
        <w:rPr>
          <w:rFonts w:ascii="Arial" w:hAnsi="Arial" w:cs="Arial"/>
          <w:bCs/>
          <w:sz w:val="24"/>
          <w:szCs w:val="24"/>
        </w:rPr>
        <w:t>POC</w:t>
      </w:r>
      <w:r w:rsidR="007B6E3D" w:rsidRPr="00703078">
        <w:rPr>
          <w:rFonts w:ascii="Arial" w:hAnsi="Arial" w:cs="Arial"/>
          <w:b/>
          <w:bCs/>
          <w:sz w:val="24"/>
          <w:szCs w:val="24"/>
        </w:rPr>
        <w:t>.</w:t>
      </w:r>
      <w:r w:rsidR="00755016">
        <w:rPr>
          <w:rFonts w:ascii="Arial" w:hAnsi="Arial" w:cs="Arial"/>
          <w:b/>
          <w:bCs/>
          <w:sz w:val="24"/>
          <w:szCs w:val="24"/>
        </w:rPr>
        <w:t xml:space="preserve"> </w:t>
      </w:r>
      <w:r w:rsidR="00BD692A" w:rsidRPr="00703078">
        <w:rPr>
          <w:rFonts w:ascii="Arial" w:hAnsi="Arial" w:cs="Arial"/>
          <w:sz w:val="24"/>
          <w:szCs w:val="24"/>
        </w:rPr>
        <w:t>Este novo normativo contabilístico</w:t>
      </w:r>
      <w:proofErr w:type="gramStart"/>
      <w:r w:rsidR="00BD692A" w:rsidRPr="00703078">
        <w:rPr>
          <w:rFonts w:ascii="Arial" w:hAnsi="Arial" w:cs="Arial"/>
          <w:sz w:val="24"/>
          <w:szCs w:val="24"/>
        </w:rPr>
        <w:t>,</w:t>
      </w:r>
      <w:proofErr w:type="gramEnd"/>
      <w:r w:rsidR="00BD692A" w:rsidRPr="00703078">
        <w:rPr>
          <w:rFonts w:ascii="Arial" w:hAnsi="Arial" w:cs="Arial"/>
          <w:sz w:val="24"/>
          <w:szCs w:val="24"/>
        </w:rPr>
        <w:t xml:space="preserve"> baseia-se nas normas internacionais de contabilidade</w:t>
      </w:r>
      <w:r w:rsidR="00BD692A" w:rsidRPr="00703078">
        <w:rPr>
          <w:rFonts w:ascii="Arial" w:hAnsi="Arial" w:cs="Arial"/>
          <w:i/>
          <w:sz w:val="24"/>
          <w:szCs w:val="24"/>
        </w:rPr>
        <w:t xml:space="preserve"> do </w:t>
      </w:r>
      <w:proofErr w:type="spellStart"/>
      <w:r w:rsidR="00BD692A" w:rsidRPr="00703078">
        <w:rPr>
          <w:rFonts w:ascii="Arial" w:hAnsi="Arial" w:cs="Arial"/>
          <w:i/>
          <w:sz w:val="24"/>
          <w:szCs w:val="24"/>
        </w:rPr>
        <w:t>International</w:t>
      </w:r>
      <w:proofErr w:type="spellEnd"/>
      <w:r w:rsidR="00BD692A" w:rsidRPr="007030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692A" w:rsidRPr="00703078">
        <w:rPr>
          <w:rFonts w:ascii="Arial" w:hAnsi="Arial" w:cs="Arial"/>
          <w:sz w:val="24"/>
          <w:szCs w:val="24"/>
        </w:rPr>
        <w:t>Acc</w:t>
      </w:r>
      <w:r w:rsidR="00703078">
        <w:rPr>
          <w:rFonts w:ascii="Arial" w:hAnsi="Arial" w:cs="Arial"/>
          <w:sz w:val="24"/>
          <w:szCs w:val="24"/>
        </w:rPr>
        <w:t>ounting</w:t>
      </w:r>
      <w:proofErr w:type="spellEnd"/>
      <w:r w:rsidR="00703078">
        <w:rPr>
          <w:rFonts w:ascii="Arial" w:hAnsi="Arial" w:cs="Arial"/>
          <w:sz w:val="24"/>
          <w:szCs w:val="24"/>
        </w:rPr>
        <w:t xml:space="preserve"> Standards </w:t>
      </w:r>
      <w:proofErr w:type="spellStart"/>
      <w:r w:rsidR="00703078">
        <w:rPr>
          <w:rFonts w:ascii="Arial" w:hAnsi="Arial" w:cs="Arial"/>
          <w:sz w:val="24"/>
          <w:szCs w:val="24"/>
        </w:rPr>
        <w:t>Board</w:t>
      </w:r>
      <w:proofErr w:type="spellEnd"/>
      <w:r w:rsidR="00703078">
        <w:rPr>
          <w:rFonts w:ascii="Arial" w:hAnsi="Arial" w:cs="Arial"/>
          <w:sz w:val="24"/>
          <w:szCs w:val="24"/>
        </w:rPr>
        <w:t xml:space="preserve"> (IASB)</w:t>
      </w:r>
      <w:r w:rsidR="00A55AA8">
        <w:rPr>
          <w:rFonts w:ascii="Arial" w:hAnsi="Arial" w:cs="Arial"/>
          <w:sz w:val="24"/>
          <w:szCs w:val="24"/>
        </w:rPr>
        <w:t xml:space="preserve"> e</w:t>
      </w:r>
      <w:r w:rsidR="00703078">
        <w:rPr>
          <w:rFonts w:ascii="Arial" w:hAnsi="Arial" w:cs="Arial"/>
          <w:sz w:val="24"/>
          <w:szCs w:val="24"/>
        </w:rPr>
        <w:t xml:space="preserve"> </w:t>
      </w:r>
      <w:r w:rsidR="00BD692A" w:rsidRPr="00703078">
        <w:rPr>
          <w:rFonts w:ascii="Arial" w:hAnsi="Arial" w:cs="Arial"/>
          <w:sz w:val="24"/>
          <w:szCs w:val="24"/>
        </w:rPr>
        <w:t>distingu</w:t>
      </w:r>
      <w:r w:rsidR="00703078">
        <w:rPr>
          <w:rFonts w:ascii="Arial" w:hAnsi="Arial" w:cs="Arial"/>
          <w:sz w:val="24"/>
          <w:szCs w:val="24"/>
        </w:rPr>
        <w:t xml:space="preserve">e </w:t>
      </w:r>
      <w:r w:rsidR="00BD692A" w:rsidRPr="00703078">
        <w:rPr>
          <w:rFonts w:ascii="Arial" w:hAnsi="Arial" w:cs="Arial"/>
          <w:sz w:val="24"/>
          <w:szCs w:val="24"/>
        </w:rPr>
        <w:t>as pequenas entidades (PE) das demais entidades sujeitas à aplicação das 28 normas contabilísticas e de relato financeiro (NCRF), permitindo</w:t>
      </w:r>
      <w:r w:rsidR="00703078">
        <w:rPr>
          <w:rFonts w:ascii="Arial" w:hAnsi="Arial" w:cs="Arial"/>
          <w:sz w:val="24"/>
          <w:szCs w:val="24"/>
        </w:rPr>
        <w:t xml:space="preserve"> assim</w:t>
      </w:r>
      <w:r w:rsidR="00BD692A" w:rsidRPr="00703078">
        <w:rPr>
          <w:rFonts w:ascii="Arial" w:hAnsi="Arial" w:cs="Arial"/>
          <w:sz w:val="24"/>
          <w:szCs w:val="24"/>
        </w:rPr>
        <w:t xml:space="preserve"> a opção pela aplicação da norma </w:t>
      </w:r>
      <w:r w:rsidR="00BD692A" w:rsidRPr="004913EE">
        <w:rPr>
          <w:rFonts w:ascii="Arial" w:hAnsi="Arial" w:cs="Arial"/>
          <w:sz w:val="24"/>
          <w:szCs w:val="24"/>
        </w:rPr>
        <w:t>contabilística de relato financeiro para pequenas entidades (NCRF-PE), caso não ultrapassassem os limites previstos</w:t>
      </w:r>
      <w:r w:rsidR="00703078" w:rsidRPr="004913EE">
        <w:rPr>
          <w:rFonts w:ascii="Arial" w:hAnsi="Arial" w:cs="Arial"/>
          <w:sz w:val="24"/>
          <w:szCs w:val="24"/>
        </w:rPr>
        <w:t xml:space="preserve"> no diploma</w:t>
      </w:r>
      <w:r w:rsidR="00BD692A" w:rsidRPr="004913EE">
        <w:rPr>
          <w:rFonts w:ascii="Arial" w:hAnsi="Arial" w:cs="Arial"/>
          <w:sz w:val="24"/>
          <w:szCs w:val="24"/>
        </w:rPr>
        <w:t>.</w:t>
      </w:r>
      <w:r w:rsidR="00755016">
        <w:rPr>
          <w:rFonts w:ascii="Arial" w:hAnsi="Arial" w:cs="Arial"/>
          <w:sz w:val="24"/>
          <w:szCs w:val="24"/>
        </w:rPr>
        <w:t xml:space="preserve"> Posteriormente foi ainda criando um diploma especial </w:t>
      </w:r>
      <w:r w:rsidR="00D21F1F">
        <w:rPr>
          <w:rFonts w:ascii="Arial" w:hAnsi="Arial" w:cs="Arial"/>
          <w:sz w:val="24"/>
          <w:szCs w:val="24"/>
        </w:rPr>
        <w:t xml:space="preserve">de normalização contabilística </w:t>
      </w:r>
      <w:r w:rsidR="00755016">
        <w:rPr>
          <w:rFonts w:ascii="Arial" w:hAnsi="Arial" w:cs="Arial"/>
          <w:sz w:val="24"/>
          <w:szCs w:val="24"/>
        </w:rPr>
        <w:t xml:space="preserve">para as </w:t>
      </w:r>
      <w:proofErr w:type="spellStart"/>
      <w:r w:rsidR="00755016">
        <w:rPr>
          <w:rFonts w:ascii="Arial" w:hAnsi="Arial" w:cs="Arial"/>
          <w:sz w:val="24"/>
          <w:szCs w:val="24"/>
        </w:rPr>
        <w:t>microentidades</w:t>
      </w:r>
      <w:proofErr w:type="spellEnd"/>
      <w:r w:rsidR="00D21F1F">
        <w:rPr>
          <w:rFonts w:ascii="Arial" w:hAnsi="Arial" w:cs="Arial"/>
          <w:sz w:val="24"/>
          <w:szCs w:val="24"/>
        </w:rPr>
        <w:t xml:space="preserve"> (NCM)</w:t>
      </w:r>
      <w:r w:rsidR="00755016">
        <w:rPr>
          <w:rFonts w:ascii="Arial" w:hAnsi="Arial" w:cs="Arial"/>
          <w:sz w:val="24"/>
          <w:szCs w:val="24"/>
        </w:rPr>
        <w:t>.</w:t>
      </w:r>
    </w:p>
    <w:p w:rsidR="00CB04FB" w:rsidRPr="004913EE" w:rsidRDefault="00871F74" w:rsidP="004913E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913EE">
        <w:rPr>
          <w:rFonts w:ascii="Arial" w:hAnsi="Arial" w:cs="Arial"/>
          <w:sz w:val="24"/>
          <w:szCs w:val="24"/>
        </w:rPr>
        <w:t xml:space="preserve">Com este trabalho vou tentar fazer uma breve abordagem geral a este novo Sistema de Normalização </w:t>
      </w:r>
      <w:r w:rsidR="00E84C69" w:rsidRPr="004913EE">
        <w:rPr>
          <w:rFonts w:ascii="Arial" w:hAnsi="Arial" w:cs="Arial"/>
          <w:sz w:val="24"/>
          <w:szCs w:val="24"/>
        </w:rPr>
        <w:t>Contabilística</w:t>
      </w:r>
      <w:r w:rsidRPr="004913EE">
        <w:rPr>
          <w:rFonts w:ascii="Arial" w:hAnsi="Arial" w:cs="Arial"/>
          <w:sz w:val="24"/>
          <w:szCs w:val="24"/>
        </w:rPr>
        <w:t xml:space="preserve"> e identificar as diferenças mais significativas entre a sua aplicação nas pequenas e</w:t>
      </w:r>
      <w:r w:rsidR="00755016">
        <w:rPr>
          <w:rFonts w:ascii="Arial" w:hAnsi="Arial" w:cs="Arial"/>
          <w:sz w:val="24"/>
          <w:szCs w:val="24"/>
        </w:rPr>
        <w:t>ntidades</w:t>
      </w:r>
      <w:r w:rsidRPr="004913EE">
        <w:rPr>
          <w:rFonts w:ascii="Arial" w:hAnsi="Arial" w:cs="Arial"/>
          <w:sz w:val="24"/>
          <w:szCs w:val="24"/>
        </w:rPr>
        <w:t xml:space="preserve"> e nas </w:t>
      </w:r>
      <w:proofErr w:type="spellStart"/>
      <w:r w:rsidRPr="004913EE">
        <w:rPr>
          <w:rFonts w:ascii="Arial" w:hAnsi="Arial" w:cs="Arial"/>
          <w:sz w:val="24"/>
          <w:szCs w:val="24"/>
        </w:rPr>
        <w:t>microe</w:t>
      </w:r>
      <w:r w:rsidR="00755016">
        <w:rPr>
          <w:rFonts w:ascii="Arial" w:hAnsi="Arial" w:cs="Arial"/>
          <w:sz w:val="24"/>
          <w:szCs w:val="24"/>
        </w:rPr>
        <w:t>ntidades</w:t>
      </w:r>
      <w:proofErr w:type="spellEnd"/>
      <w:r w:rsidRPr="004913EE">
        <w:rPr>
          <w:rFonts w:ascii="Arial" w:hAnsi="Arial" w:cs="Arial"/>
          <w:sz w:val="24"/>
          <w:szCs w:val="24"/>
        </w:rPr>
        <w:t>.</w:t>
      </w:r>
      <w:r w:rsidR="00CB04FB" w:rsidRPr="004913EE">
        <w:rPr>
          <w:rFonts w:ascii="Arial" w:hAnsi="Arial" w:cs="Arial"/>
          <w:sz w:val="24"/>
          <w:szCs w:val="24"/>
        </w:rPr>
        <w:br w:type="page"/>
      </w:r>
    </w:p>
    <w:p w:rsidR="00777437" w:rsidRPr="00986EFC" w:rsidRDefault="00777437" w:rsidP="00986EFC">
      <w:pPr>
        <w:pStyle w:val="Ttulo1"/>
        <w:numPr>
          <w:ilvl w:val="0"/>
          <w:numId w:val="14"/>
        </w:numPr>
        <w:ind w:left="1066" w:hanging="357"/>
      </w:pPr>
      <w:bookmarkStart w:id="1" w:name="_Toc308126196"/>
      <w:r w:rsidRPr="00986EFC">
        <w:lastRenderedPageBreak/>
        <w:t xml:space="preserve">SNC – </w:t>
      </w:r>
      <w:r w:rsidR="006D5B56" w:rsidRPr="00986EFC">
        <w:t>NCRF PE vs NCM</w:t>
      </w:r>
      <w:r w:rsidR="00FB5318" w:rsidRPr="00986EFC">
        <w:t xml:space="preserve"> – </w:t>
      </w:r>
      <w:r w:rsidR="00CF08C1" w:rsidRPr="00986EFC">
        <w:t>BREVE ABORDAGEM</w:t>
      </w:r>
      <w:bookmarkEnd w:id="1"/>
    </w:p>
    <w:p w:rsidR="00777437" w:rsidRDefault="00777437" w:rsidP="00CB65C9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D21F1F" w:rsidRDefault="00D21F1F" w:rsidP="00CE655D">
      <w:pPr>
        <w:pStyle w:val="Default"/>
        <w:spacing w:line="360" w:lineRule="auto"/>
        <w:ind w:firstLine="708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A principal preocupação do SNC é a </w:t>
      </w:r>
      <w:r w:rsidRPr="00D21F1F">
        <w:rPr>
          <w:rFonts w:ascii="Arial" w:hAnsi="Arial" w:cs="Arial"/>
          <w:b/>
          <w:i/>
          <w:color w:val="auto"/>
        </w:rPr>
        <w:t>qualidade</w:t>
      </w:r>
      <w:r>
        <w:rPr>
          <w:rFonts w:ascii="Arial" w:hAnsi="Arial" w:cs="Arial"/>
          <w:color w:val="auto"/>
        </w:rPr>
        <w:t xml:space="preserve"> da informação financeira, em detrimento da </w:t>
      </w:r>
      <w:r w:rsidRPr="00D21F1F">
        <w:rPr>
          <w:rFonts w:ascii="Arial" w:hAnsi="Arial" w:cs="Arial"/>
          <w:b/>
          <w:i/>
          <w:color w:val="auto"/>
        </w:rPr>
        <w:t>quantidade</w:t>
      </w:r>
      <w:r>
        <w:rPr>
          <w:rFonts w:ascii="Arial" w:hAnsi="Arial" w:cs="Arial"/>
          <w:color w:val="auto"/>
        </w:rPr>
        <w:t>.</w:t>
      </w:r>
    </w:p>
    <w:p w:rsidR="00967F10" w:rsidRPr="000460C0" w:rsidRDefault="00777437" w:rsidP="00CE655D">
      <w:pPr>
        <w:pStyle w:val="Default"/>
        <w:spacing w:line="360" w:lineRule="auto"/>
        <w:ind w:firstLine="708"/>
        <w:jc w:val="both"/>
        <w:rPr>
          <w:rFonts w:ascii="Arial" w:hAnsi="Arial" w:cs="Arial"/>
          <w:color w:val="auto"/>
        </w:rPr>
      </w:pPr>
      <w:r w:rsidRPr="000460C0">
        <w:rPr>
          <w:rFonts w:ascii="Arial" w:hAnsi="Arial" w:cs="Arial"/>
          <w:color w:val="auto"/>
        </w:rPr>
        <w:t xml:space="preserve">O SNC prevê dois </w:t>
      </w:r>
      <w:r w:rsidR="00CE765E" w:rsidRPr="000460C0">
        <w:rPr>
          <w:rFonts w:ascii="Arial" w:hAnsi="Arial" w:cs="Arial"/>
          <w:color w:val="auto"/>
        </w:rPr>
        <w:t>níveis contabilísticos,</w:t>
      </w:r>
      <w:r w:rsidRPr="000460C0">
        <w:rPr>
          <w:rFonts w:ascii="Arial" w:hAnsi="Arial" w:cs="Arial"/>
          <w:color w:val="auto"/>
        </w:rPr>
        <w:t xml:space="preserve"> um de carácter geral, constituído por 28 Normas contabilísticas e de Relato Financeiro (NCRF) e 2 Notas Interpretativas e um outro modelo</w:t>
      </w:r>
      <w:r w:rsidR="00CE765E" w:rsidRPr="000460C0">
        <w:rPr>
          <w:rFonts w:ascii="Arial" w:hAnsi="Arial" w:cs="Arial"/>
          <w:color w:val="auto"/>
        </w:rPr>
        <w:t>, mais</w:t>
      </w:r>
      <w:r w:rsidRPr="000460C0">
        <w:rPr>
          <w:rFonts w:ascii="Arial" w:hAnsi="Arial" w:cs="Arial"/>
          <w:color w:val="auto"/>
        </w:rPr>
        <w:t xml:space="preserve"> reduzido, composto por apenas uma norma aplicável às Pequenas Entidades (PE) definidas no art.º 9.º do diploma e designada por Norma Contabilística e de Relato Financeiro para Pequenas Entidades (NCRF-PE).</w:t>
      </w:r>
      <w:r w:rsidR="00967F10" w:rsidRPr="000460C0">
        <w:rPr>
          <w:rFonts w:ascii="Arial" w:hAnsi="Arial" w:cs="Arial"/>
          <w:color w:val="auto"/>
        </w:rPr>
        <w:t xml:space="preserve"> </w:t>
      </w:r>
      <w:r w:rsidR="00AC72B6" w:rsidRPr="000460C0">
        <w:rPr>
          <w:rFonts w:ascii="Arial" w:hAnsi="Arial" w:cs="Arial"/>
          <w:color w:val="auto"/>
        </w:rPr>
        <w:t>No entanto, foi</w:t>
      </w:r>
      <w:r w:rsidR="00967F10" w:rsidRPr="000460C0">
        <w:rPr>
          <w:rFonts w:ascii="Arial" w:hAnsi="Arial" w:cs="Arial"/>
          <w:color w:val="auto"/>
        </w:rPr>
        <w:t xml:space="preserve"> entendido pelo legislador que essa norma seria ainda excessiva para entidades com menores exigências qualitativas ao nível do relato financeiro</w:t>
      </w:r>
      <w:r w:rsidR="00AC72B6" w:rsidRPr="000460C0">
        <w:rPr>
          <w:rFonts w:ascii="Arial" w:hAnsi="Arial" w:cs="Arial"/>
          <w:color w:val="auto"/>
        </w:rPr>
        <w:t xml:space="preserve"> e surge a publicação da Lei n.º 35/2010, de 2 de Setembro que cria um regime especial simplificado das normas e informações contabilísticas aplicáveis às </w:t>
      </w:r>
      <w:proofErr w:type="spellStart"/>
      <w:r w:rsidR="00AC72B6" w:rsidRPr="000460C0">
        <w:rPr>
          <w:rFonts w:ascii="Arial" w:hAnsi="Arial" w:cs="Arial"/>
          <w:color w:val="auto"/>
        </w:rPr>
        <w:t>microentidades</w:t>
      </w:r>
      <w:proofErr w:type="spellEnd"/>
      <w:r w:rsidR="00AC72B6" w:rsidRPr="000460C0">
        <w:rPr>
          <w:rFonts w:ascii="Arial" w:hAnsi="Arial" w:cs="Arial"/>
          <w:color w:val="auto"/>
        </w:rPr>
        <w:t xml:space="preserve">, definindo ao mesmo tempo o conceito de </w:t>
      </w:r>
      <w:proofErr w:type="spellStart"/>
      <w:r w:rsidR="00AC72B6" w:rsidRPr="000460C0">
        <w:rPr>
          <w:rFonts w:ascii="Arial" w:hAnsi="Arial" w:cs="Arial"/>
          <w:color w:val="auto"/>
        </w:rPr>
        <w:t>microentidade</w:t>
      </w:r>
      <w:proofErr w:type="spellEnd"/>
      <w:r w:rsidR="00AC72B6" w:rsidRPr="000460C0">
        <w:rPr>
          <w:rFonts w:ascii="Arial" w:hAnsi="Arial" w:cs="Arial"/>
          <w:color w:val="auto"/>
        </w:rPr>
        <w:t xml:space="preserve">, com os limites de aplicação e uma norma de salvaguarda relativamente à questão da opção pelas NCRF previstas no Decreto-Lei n.º 158/2009, de 13 de Julho. </w:t>
      </w:r>
    </w:p>
    <w:p w:rsidR="00777437" w:rsidRDefault="00D70B0E" w:rsidP="00CE65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PT"/>
        </w:rPr>
        <w:drawing>
          <wp:inline distT="0" distB="0" distL="0" distR="0">
            <wp:extent cx="5493610" cy="2826871"/>
            <wp:effectExtent l="38100" t="0" r="49940" b="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C1D8A" w:rsidRPr="009C1D8A" w:rsidRDefault="009C1D8A" w:rsidP="00A55A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Elaboração Própria</w:t>
      </w:r>
    </w:p>
    <w:p w:rsidR="00CB65C9" w:rsidRDefault="00CB65C9" w:rsidP="00CE655D">
      <w:pPr>
        <w:autoSpaceDE w:val="0"/>
        <w:autoSpaceDN w:val="0"/>
        <w:adjustRightInd w:val="0"/>
        <w:spacing w:after="0" w:line="360" w:lineRule="auto"/>
        <w:ind w:firstLine="520"/>
        <w:jc w:val="both"/>
        <w:rPr>
          <w:rFonts w:ascii="Arial" w:hAnsi="Arial" w:cs="Arial"/>
          <w:b/>
          <w:sz w:val="24"/>
          <w:szCs w:val="24"/>
        </w:rPr>
      </w:pPr>
    </w:p>
    <w:p w:rsidR="00187345" w:rsidRDefault="00187345" w:rsidP="00CE655D">
      <w:pPr>
        <w:autoSpaceDE w:val="0"/>
        <w:autoSpaceDN w:val="0"/>
        <w:adjustRightInd w:val="0"/>
        <w:spacing w:after="0" w:line="360" w:lineRule="auto"/>
        <w:ind w:firstLine="520"/>
        <w:jc w:val="both"/>
        <w:rPr>
          <w:rFonts w:ascii="Arial" w:hAnsi="Arial" w:cs="Arial"/>
          <w:sz w:val="24"/>
          <w:szCs w:val="24"/>
        </w:rPr>
      </w:pPr>
    </w:p>
    <w:p w:rsidR="00FB5318" w:rsidRDefault="00D21F1F" w:rsidP="00CE655D">
      <w:pPr>
        <w:autoSpaceDE w:val="0"/>
        <w:autoSpaceDN w:val="0"/>
        <w:adjustRightInd w:val="0"/>
        <w:spacing w:after="0" w:line="360" w:lineRule="auto"/>
        <w:ind w:firstLine="520"/>
        <w:jc w:val="both"/>
        <w:rPr>
          <w:rFonts w:ascii="Arial" w:hAnsi="Arial" w:cs="Arial"/>
          <w:sz w:val="24"/>
          <w:szCs w:val="24"/>
        </w:rPr>
      </w:pPr>
      <w:r w:rsidRPr="00D21F1F">
        <w:rPr>
          <w:rFonts w:ascii="Arial" w:hAnsi="Arial" w:cs="Arial"/>
          <w:sz w:val="24"/>
          <w:szCs w:val="24"/>
        </w:rPr>
        <w:t>Posteriormente é</w:t>
      </w:r>
      <w:r w:rsidR="0061384B">
        <w:rPr>
          <w:rFonts w:ascii="Arial" w:hAnsi="Arial" w:cs="Arial"/>
          <w:sz w:val="24"/>
          <w:szCs w:val="24"/>
        </w:rPr>
        <w:t xml:space="preserve"> ainda publicado</w:t>
      </w:r>
      <w:r w:rsidRPr="00D21F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Decreto-</w:t>
      </w:r>
      <w:r w:rsidRPr="00D21F1F">
        <w:rPr>
          <w:rFonts w:ascii="Arial" w:hAnsi="Arial" w:cs="Arial"/>
          <w:sz w:val="24"/>
          <w:szCs w:val="24"/>
        </w:rPr>
        <w:t>Lei n.º 36-A</w:t>
      </w:r>
      <w:r>
        <w:rPr>
          <w:rFonts w:ascii="Arial" w:hAnsi="Arial" w:cs="Arial"/>
          <w:sz w:val="24"/>
          <w:szCs w:val="24"/>
        </w:rPr>
        <w:t>/2011, que aprova o reg</w:t>
      </w:r>
      <w:r w:rsidR="0061384B">
        <w:rPr>
          <w:rFonts w:ascii="Arial" w:hAnsi="Arial" w:cs="Arial"/>
          <w:sz w:val="24"/>
          <w:szCs w:val="24"/>
        </w:rPr>
        <w:t>ime</w:t>
      </w:r>
      <w:r>
        <w:rPr>
          <w:rFonts w:ascii="Arial" w:hAnsi="Arial" w:cs="Arial"/>
          <w:sz w:val="24"/>
          <w:szCs w:val="24"/>
        </w:rPr>
        <w:t xml:space="preserve"> de normalização contabilística para as </w:t>
      </w:r>
      <w:proofErr w:type="spellStart"/>
      <w:r>
        <w:rPr>
          <w:rFonts w:ascii="Arial" w:hAnsi="Arial" w:cs="Arial"/>
          <w:sz w:val="24"/>
          <w:szCs w:val="24"/>
        </w:rPr>
        <w:t>microentida</w:t>
      </w:r>
      <w:r w:rsidR="00FB531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es</w:t>
      </w:r>
      <w:proofErr w:type="spellEnd"/>
      <w:r w:rsidR="00FB5318">
        <w:rPr>
          <w:rFonts w:ascii="Arial" w:hAnsi="Arial" w:cs="Arial"/>
          <w:sz w:val="24"/>
          <w:szCs w:val="24"/>
        </w:rPr>
        <w:t>.</w:t>
      </w:r>
    </w:p>
    <w:p w:rsidR="0061384B" w:rsidRDefault="0061384B" w:rsidP="0061384B">
      <w:pPr>
        <w:autoSpaceDE w:val="0"/>
        <w:autoSpaceDN w:val="0"/>
        <w:adjustRightInd w:val="0"/>
        <w:spacing w:after="0" w:line="240" w:lineRule="auto"/>
        <w:ind w:firstLine="520"/>
        <w:rPr>
          <w:rFonts w:ascii="TimesNewRomanPSMT" w:hAnsi="TimesNewRomanPSMT" w:cs="TimesNewRomanPSMT"/>
          <w:sz w:val="21"/>
          <w:szCs w:val="21"/>
        </w:rPr>
      </w:pPr>
    </w:p>
    <w:p w:rsidR="0061384B" w:rsidRPr="0061384B" w:rsidRDefault="0061384B" w:rsidP="00A55AA8">
      <w:pPr>
        <w:autoSpaceDE w:val="0"/>
        <w:autoSpaceDN w:val="0"/>
        <w:adjustRightInd w:val="0"/>
        <w:spacing w:after="0" w:line="360" w:lineRule="auto"/>
        <w:ind w:firstLine="520"/>
        <w:jc w:val="both"/>
        <w:rPr>
          <w:rFonts w:ascii="Arial" w:hAnsi="Arial" w:cs="Arial"/>
          <w:sz w:val="24"/>
          <w:szCs w:val="24"/>
        </w:rPr>
      </w:pPr>
      <w:r w:rsidRPr="0061384B">
        <w:rPr>
          <w:rFonts w:ascii="Arial" w:hAnsi="Arial" w:cs="Arial"/>
          <w:sz w:val="24"/>
          <w:szCs w:val="24"/>
        </w:rPr>
        <w:t>O SNC é composto pelos seguintes instrumentos, que não são de aplicação geral:</w:t>
      </w:r>
    </w:p>
    <w:p w:rsidR="0061384B" w:rsidRPr="00187345" w:rsidRDefault="0061384B" w:rsidP="00187345">
      <w:pPr>
        <w:pStyle w:val="PargrafodaLista"/>
        <w:numPr>
          <w:ilvl w:val="3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187345">
        <w:rPr>
          <w:rFonts w:ascii="Arial" w:hAnsi="Arial" w:cs="Arial"/>
          <w:sz w:val="24"/>
          <w:szCs w:val="24"/>
        </w:rPr>
        <w:t>Bases para a apresentação de demonstrações financeiras (BADF);</w:t>
      </w:r>
    </w:p>
    <w:p w:rsidR="0061384B" w:rsidRPr="0061384B" w:rsidRDefault="0061384B" w:rsidP="0018734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61384B">
        <w:rPr>
          <w:rFonts w:ascii="Arial" w:hAnsi="Arial" w:cs="Arial"/>
          <w:sz w:val="24"/>
          <w:szCs w:val="24"/>
        </w:rPr>
        <w:t>Modelos de demonstrações financeiras (MDF);</w:t>
      </w:r>
    </w:p>
    <w:p w:rsidR="0061384B" w:rsidRPr="0061384B" w:rsidRDefault="0061384B" w:rsidP="0018734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61384B">
        <w:rPr>
          <w:rFonts w:ascii="Arial" w:hAnsi="Arial" w:cs="Arial"/>
          <w:sz w:val="24"/>
          <w:szCs w:val="24"/>
        </w:rPr>
        <w:lastRenderedPageBreak/>
        <w:t>Código de contas (CC);</w:t>
      </w:r>
    </w:p>
    <w:p w:rsidR="0061384B" w:rsidRPr="0061384B" w:rsidRDefault="0061384B" w:rsidP="0018734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61384B">
        <w:rPr>
          <w:rFonts w:ascii="Arial" w:hAnsi="Arial" w:cs="Arial"/>
          <w:sz w:val="24"/>
          <w:szCs w:val="24"/>
        </w:rPr>
        <w:t>Normas contabilísticas e de relato financeiro (NCRF);</w:t>
      </w:r>
    </w:p>
    <w:p w:rsidR="0061384B" w:rsidRPr="0061384B" w:rsidRDefault="0061384B" w:rsidP="0018734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61384B">
        <w:rPr>
          <w:rFonts w:ascii="Arial" w:hAnsi="Arial" w:cs="Arial"/>
          <w:sz w:val="24"/>
          <w:szCs w:val="24"/>
        </w:rPr>
        <w:t>Norma contabilística e de relato financeiro para pequenas entidades (NCRF-PE);</w:t>
      </w:r>
    </w:p>
    <w:p w:rsidR="002F5701" w:rsidRPr="002F5701" w:rsidRDefault="0061384B" w:rsidP="00187345">
      <w:pPr>
        <w:pStyle w:val="PargrafodaLista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Arial" w:hAnsi="Arial" w:cs="Arial"/>
          <w:sz w:val="24"/>
          <w:szCs w:val="24"/>
        </w:rPr>
      </w:pPr>
      <w:r w:rsidRPr="002F5701">
        <w:rPr>
          <w:rFonts w:ascii="Arial" w:hAnsi="Arial" w:cs="Arial"/>
          <w:sz w:val="24"/>
          <w:szCs w:val="24"/>
        </w:rPr>
        <w:t>Normas interpretativas (NI).</w:t>
      </w:r>
    </w:p>
    <w:p w:rsidR="002F5701" w:rsidRDefault="002F5701" w:rsidP="002F570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B65C9" w:rsidRPr="002F5701" w:rsidRDefault="00CB65C9" w:rsidP="002F570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2F5701">
        <w:rPr>
          <w:rFonts w:ascii="Arial" w:hAnsi="Arial" w:cs="Arial"/>
          <w:sz w:val="24"/>
          <w:szCs w:val="24"/>
        </w:rPr>
        <w:t xml:space="preserve">Para efeitos de aplicação da legislação respectiva, importa salientar os limites considerados para as </w:t>
      </w:r>
      <w:proofErr w:type="spellStart"/>
      <w:r w:rsidRPr="002F5701">
        <w:rPr>
          <w:rFonts w:ascii="Arial" w:hAnsi="Arial" w:cs="Arial"/>
          <w:sz w:val="24"/>
          <w:szCs w:val="24"/>
        </w:rPr>
        <w:t>microentidades</w:t>
      </w:r>
      <w:proofErr w:type="spellEnd"/>
      <w:r w:rsidRPr="002F5701">
        <w:rPr>
          <w:rFonts w:ascii="Arial" w:hAnsi="Arial" w:cs="Arial"/>
          <w:sz w:val="24"/>
          <w:szCs w:val="24"/>
        </w:rPr>
        <w:t xml:space="preserve"> e pequenas entidades</w:t>
      </w:r>
      <w:r w:rsidR="00D32006" w:rsidRPr="002F5701">
        <w:rPr>
          <w:rFonts w:ascii="Arial" w:hAnsi="Arial" w:cs="Arial"/>
          <w:sz w:val="24"/>
          <w:szCs w:val="24"/>
        </w:rPr>
        <w:t>:</w:t>
      </w:r>
    </w:p>
    <w:tbl>
      <w:tblPr>
        <w:tblStyle w:val="Tabelacomgrelha"/>
        <w:tblW w:w="0" w:type="auto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Look w:val="04A0"/>
      </w:tblPr>
      <w:tblGrid>
        <w:gridCol w:w="2444"/>
        <w:gridCol w:w="2444"/>
        <w:gridCol w:w="2445"/>
        <w:gridCol w:w="2445"/>
      </w:tblGrid>
      <w:tr w:rsidR="00B94389" w:rsidRPr="00CB65C9" w:rsidTr="00CB65C9">
        <w:tc>
          <w:tcPr>
            <w:tcW w:w="2444" w:type="dxa"/>
            <w:shd w:val="solid" w:color="C00000" w:fill="auto"/>
          </w:tcPr>
          <w:p w:rsidR="00B94389" w:rsidRPr="00CB65C9" w:rsidRDefault="00B94389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B65C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Rubrica</w:t>
            </w:r>
          </w:p>
        </w:tc>
        <w:tc>
          <w:tcPr>
            <w:tcW w:w="2444" w:type="dxa"/>
            <w:shd w:val="solid" w:color="C00000" w:fill="auto"/>
          </w:tcPr>
          <w:p w:rsidR="00B94389" w:rsidRPr="00CB65C9" w:rsidRDefault="00B94389" w:rsidP="00B9438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B65C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Empregados</w:t>
            </w:r>
          </w:p>
        </w:tc>
        <w:tc>
          <w:tcPr>
            <w:tcW w:w="2445" w:type="dxa"/>
            <w:shd w:val="solid" w:color="C00000" w:fill="auto"/>
          </w:tcPr>
          <w:p w:rsidR="00B94389" w:rsidRPr="00CB65C9" w:rsidRDefault="00B94389" w:rsidP="00B9438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B65C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Volume de Negócios (Anual)</w:t>
            </w:r>
          </w:p>
        </w:tc>
        <w:tc>
          <w:tcPr>
            <w:tcW w:w="2445" w:type="dxa"/>
            <w:shd w:val="solid" w:color="C00000" w:fill="auto"/>
          </w:tcPr>
          <w:p w:rsidR="00B94389" w:rsidRPr="00CB65C9" w:rsidRDefault="00B94389" w:rsidP="00B9438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B65C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Balanço Total (Anual)</w:t>
            </w:r>
          </w:p>
        </w:tc>
      </w:tr>
      <w:tr w:rsidR="00B94389" w:rsidTr="00CB65C9">
        <w:trPr>
          <w:trHeight w:val="231"/>
        </w:trPr>
        <w:tc>
          <w:tcPr>
            <w:tcW w:w="2444" w:type="dxa"/>
          </w:tcPr>
          <w:p w:rsidR="00FE4C03" w:rsidRDefault="00B94389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proofErr w:type="spellStart"/>
            <w:r w:rsidRPr="00B94389">
              <w:rPr>
                <w:rFonts w:ascii="Arial" w:hAnsi="Arial" w:cs="Arial"/>
                <w:b/>
                <w:color w:val="C00000"/>
                <w:sz w:val="24"/>
                <w:szCs w:val="24"/>
              </w:rPr>
              <w:t>Microentidade</w:t>
            </w:r>
            <w:proofErr w:type="spellEnd"/>
          </w:p>
          <w:p w:rsidR="00B94389" w:rsidRP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FE4C03">
              <w:rPr>
                <w:rFonts w:ascii="Arial" w:hAnsi="Arial" w:cs="Arial"/>
                <w:b/>
                <w:color w:val="C00000"/>
                <w:sz w:val="16"/>
                <w:szCs w:val="16"/>
              </w:rPr>
              <w:t>(DL n.º 36-A/2011</w:t>
            </w:r>
            <w:r>
              <w:rPr>
                <w:rFonts w:ascii="Arial" w:hAnsi="Arial" w:cs="Arial"/>
                <w:b/>
                <w:color w:val="C00000"/>
                <w:sz w:val="16"/>
                <w:szCs w:val="16"/>
              </w:rPr>
              <w:t>)</w:t>
            </w:r>
          </w:p>
        </w:tc>
        <w:tc>
          <w:tcPr>
            <w:tcW w:w="2444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≤ 5</w:t>
            </w:r>
          </w:p>
        </w:tc>
        <w:tc>
          <w:tcPr>
            <w:tcW w:w="2445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≤ 500 000,00 €</w:t>
            </w:r>
          </w:p>
        </w:tc>
        <w:tc>
          <w:tcPr>
            <w:tcW w:w="2445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≤ 500 000,00 €</w:t>
            </w:r>
          </w:p>
        </w:tc>
      </w:tr>
      <w:tr w:rsidR="00B94389" w:rsidTr="00CB65C9">
        <w:tc>
          <w:tcPr>
            <w:tcW w:w="2444" w:type="dxa"/>
          </w:tcPr>
          <w:p w:rsidR="00B94389" w:rsidRPr="005F3C47" w:rsidRDefault="00B94389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5F3C47">
              <w:rPr>
                <w:rFonts w:ascii="Arial" w:hAnsi="Arial" w:cs="Arial"/>
                <w:b/>
                <w:color w:val="C00000"/>
                <w:sz w:val="24"/>
                <w:szCs w:val="24"/>
              </w:rPr>
              <w:t>Pequena Entidade</w:t>
            </w:r>
          </w:p>
          <w:p w:rsidR="00FE4C03" w:rsidRPr="005F3C47" w:rsidRDefault="005F3C47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  <w:r w:rsidRPr="005F3C47">
              <w:rPr>
                <w:rFonts w:ascii="Arial" w:hAnsi="Arial" w:cs="Arial"/>
                <w:b/>
                <w:color w:val="C00000"/>
                <w:sz w:val="16"/>
                <w:szCs w:val="16"/>
              </w:rPr>
              <w:t>(</w:t>
            </w:r>
            <w:r w:rsidR="00FE4C03" w:rsidRPr="005F3C47">
              <w:rPr>
                <w:rFonts w:ascii="Arial" w:hAnsi="Arial" w:cs="Arial"/>
                <w:b/>
                <w:color w:val="C00000"/>
                <w:sz w:val="16"/>
                <w:szCs w:val="16"/>
              </w:rPr>
              <w:t>Lei n.º 20/2010</w:t>
            </w:r>
            <w:r w:rsidRPr="005F3C47">
              <w:rPr>
                <w:rFonts w:ascii="Arial" w:hAnsi="Arial" w:cs="Arial"/>
                <w:b/>
                <w:color w:val="C00000"/>
                <w:sz w:val="16"/>
                <w:szCs w:val="16"/>
              </w:rPr>
              <w:t>)</w:t>
            </w:r>
          </w:p>
        </w:tc>
        <w:tc>
          <w:tcPr>
            <w:tcW w:w="2444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˂ 50</w:t>
            </w:r>
          </w:p>
        </w:tc>
        <w:tc>
          <w:tcPr>
            <w:tcW w:w="2445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≤ </w:t>
            </w:r>
            <w:r w:rsidR="005F3C47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000 000,00 €</w:t>
            </w:r>
          </w:p>
        </w:tc>
        <w:tc>
          <w:tcPr>
            <w:tcW w:w="2445" w:type="dxa"/>
          </w:tcPr>
          <w:p w:rsidR="00B94389" w:rsidRDefault="00FE4C03" w:rsidP="00FE4C0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≤ </w:t>
            </w:r>
            <w:r w:rsidR="005F3C47">
              <w:rPr>
                <w:rFonts w:ascii="Arial" w:hAnsi="Arial" w:cs="Arial"/>
                <w:b/>
                <w:sz w:val="24"/>
                <w:szCs w:val="24"/>
              </w:rPr>
              <w:t>1 5</w:t>
            </w:r>
            <w:r>
              <w:rPr>
                <w:rFonts w:ascii="Arial" w:hAnsi="Arial" w:cs="Arial"/>
                <w:b/>
                <w:sz w:val="24"/>
                <w:szCs w:val="24"/>
              </w:rPr>
              <w:t>00 000,00 €</w:t>
            </w:r>
          </w:p>
        </w:tc>
      </w:tr>
    </w:tbl>
    <w:p w:rsidR="008E1F4F" w:rsidRDefault="00FE4C03" w:rsidP="00FE4C03">
      <w:pPr>
        <w:autoSpaceDE w:val="0"/>
        <w:autoSpaceDN w:val="0"/>
        <w:adjustRightInd w:val="0"/>
        <w:spacing w:after="0" w:line="360" w:lineRule="auto"/>
        <w:ind w:firstLine="520"/>
        <w:jc w:val="center"/>
        <w:rPr>
          <w:rFonts w:ascii="Arial" w:hAnsi="Arial" w:cs="Arial"/>
          <w:sz w:val="24"/>
          <w:szCs w:val="24"/>
        </w:rPr>
      </w:pPr>
      <w:r w:rsidRPr="008E1F4F">
        <w:rPr>
          <w:rFonts w:ascii="Arial" w:hAnsi="Arial" w:cs="Arial"/>
          <w:sz w:val="24"/>
          <w:szCs w:val="24"/>
        </w:rPr>
        <w:t>Classificação de Micro e Pequena Entidade</w:t>
      </w:r>
      <w:r w:rsidR="005F3C47" w:rsidRPr="008E1F4F">
        <w:rPr>
          <w:rFonts w:ascii="Arial" w:hAnsi="Arial" w:cs="Arial"/>
          <w:sz w:val="24"/>
          <w:szCs w:val="24"/>
        </w:rPr>
        <w:t xml:space="preserve"> segundo os critérios da CNC</w:t>
      </w:r>
    </w:p>
    <w:p w:rsidR="00E54E5E" w:rsidRDefault="00E54E5E" w:rsidP="00FE4C03">
      <w:pPr>
        <w:autoSpaceDE w:val="0"/>
        <w:autoSpaceDN w:val="0"/>
        <w:adjustRightInd w:val="0"/>
        <w:spacing w:after="0" w:line="360" w:lineRule="auto"/>
        <w:ind w:firstLine="5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Elaboração própria</w:t>
      </w:r>
    </w:p>
    <w:p w:rsidR="008F02EB" w:rsidRPr="008F02EB" w:rsidRDefault="008F02EB" w:rsidP="008F02EB">
      <w:pPr>
        <w:pStyle w:val="NormalWeb"/>
        <w:ind w:firstLine="520"/>
        <w:jc w:val="both"/>
        <w:rPr>
          <w:rFonts w:ascii="Arial" w:hAnsi="Arial" w:cs="Arial"/>
        </w:rPr>
      </w:pPr>
      <w:r w:rsidRPr="008F02EB">
        <w:rPr>
          <w:rFonts w:ascii="Arial" w:hAnsi="Arial" w:cs="Arial"/>
        </w:rPr>
        <w:t>Apresento de seguida, um quadro das Demonstrações Financeiras a que a</w:t>
      </w:r>
      <w:r w:rsidR="00E54E5E">
        <w:rPr>
          <w:rFonts w:ascii="Arial" w:hAnsi="Arial" w:cs="Arial"/>
        </w:rPr>
        <w:t>s duas entidades estão sujeitas:</w:t>
      </w:r>
    </w:p>
    <w:tbl>
      <w:tblPr>
        <w:tblW w:w="6396" w:type="dxa"/>
        <w:jc w:val="center"/>
        <w:tblInd w:w="-415" w:type="dxa"/>
        <w:tblBorders>
          <w:top w:val="single" w:sz="18" w:space="0" w:color="C00000"/>
          <w:left w:val="single" w:sz="18" w:space="0" w:color="C00000"/>
          <w:bottom w:val="single" w:sz="18" w:space="0" w:color="C00000"/>
          <w:right w:val="single" w:sz="18" w:space="0" w:color="C00000"/>
          <w:insideH w:val="single" w:sz="18" w:space="0" w:color="C00000"/>
          <w:insideV w:val="single" w:sz="18" w:space="0" w:color="C00000"/>
        </w:tblBorders>
        <w:tblCellMar>
          <w:left w:w="0" w:type="dxa"/>
          <w:right w:w="0" w:type="dxa"/>
        </w:tblCellMar>
        <w:tblLook w:val="04A0"/>
      </w:tblPr>
      <w:tblGrid>
        <w:gridCol w:w="3419"/>
        <w:gridCol w:w="2977"/>
      </w:tblGrid>
      <w:tr w:rsidR="008F02EB" w:rsidRPr="007D73D0" w:rsidTr="007D73D0">
        <w:trPr>
          <w:trHeight w:val="645"/>
          <w:jc w:val="center"/>
        </w:trPr>
        <w:tc>
          <w:tcPr>
            <w:tcW w:w="3419" w:type="dxa"/>
            <w:shd w:val="clear" w:color="auto" w:fill="C00000"/>
            <w:vAlign w:val="center"/>
            <w:hideMark/>
          </w:tcPr>
          <w:p w:rsidR="008F02EB" w:rsidRPr="007D73D0" w:rsidRDefault="008F02EB" w:rsidP="008F02EB">
            <w:pPr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7D73D0">
              <w:rPr>
                <w:rStyle w:val="Forte"/>
                <w:rFonts w:ascii="Arial" w:hAnsi="Arial" w:cs="Arial"/>
                <w:color w:val="FFFFFF" w:themeColor="background1"/>
              </w:rPr>
              <w:t>NCRF- P</w:t>
            </w:r>
            <w:r w:rsidR="007D73D0">
              <w:rPr>
                <w:rStyle w:val="Forte"/>
                <w:rFonts w:ascii="Arial" w:hAnsi="Arial" w:cs="Arial"/>
                <w:color w:val="FFFFFF" w:themeColor="background1"/>
              </w:rPr>
              <w:t>E</w:t>
            </w:r>
          </w:p>
        </w:tc>
        <w:tc>
          <w:tcPr>
            <w:tcW w:w="2977" w:type="dxa"/>
            <w:shd w:val="clear" w:color="auto" w:fill="C00000"/>
            <w:vAlign w:val="center"/>
            <w:hideMark/>
          </w:tcPr>
          <w:p w:rsidR="008F02EB" w:rsidRPr="007D73D0" w:rsidRDefault="008F02EB" w:rsidP="008F02EB">
            <w:pPr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proofErr w:type="spellStart"/>
            <w:r w:rsidRPr="007D73D0">
              <w:rPr>
                <w:rStyle w:val="Forte"/>
                <w:rFonts w:ascii="Arial" w:hAnsi="Arial" w:cs="Arial"/>
                <w:color w:val="FFFFFF" w:themeColor="background1"/>
              </w:rPr>
              <w:t>Microentidades</w:t>
            </w:r>
            <w:proofErr w:type="spellEnd"/>
          </w:p>
        </w:tc>
      </w:tr>
      <w:tr w:rsidR="008F02EB" w:rsidTr="007D73D0">
        <w:trPr>
          <w:trHeight w:val="390"/>
          <w:jc w:val="center"/>
        </w:trPr>
        <w:tc>
          <w:tcPr>
            <w:tcW w:w="3419" w:type="dxa"/>
            <w:shd w:val="clear" w:color="auto" w:fill="auto"/>
            <w:vAlign w:val="center"/>
            <w:hideMark/>
          </w:tcPr>
          <w:p w:rsidR="008F02EB" w:rsidRDefault="008F02EB" w:rsidP="008F02EB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 balanço reduzido;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8F02EB" w:rsidRDefault="008F02EB" w:rsidP="008F02EB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 balanço reduzido;</w:t>
            </w:r>
          </w:p>
        </w:tc>
      </w:tr>
      <w:tr w:rsidR="008F02EB" w:rsidTr="007D73D0">
        <w:trPr>
          <w:trHeight w:val="600"/>
          <w:jc w:val="center"/>
        </w:trPr>
        <w:tc>
          <w:tcPr>
            <w:tcW w:w="3419" w:type="dxa"/>
            <w:shd w:val="clear" w:color="auto" w:fill="auto"/>
            <w:vAlign w:val="center"/>
            <w:hideMark/>
          </w:tcPr>
          <w:p w:rsidR="008F02EB" w:rsidRDefault="008F02EB" w:rsidP="007D73D0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Uma demonstração dos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resultados reduzida;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8F02EB" w:rsidRDefault="008F02EB" w:rsidP="007D73D0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Uma demonstração dos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resultados reduzida;</w:t>
            </w:r>
          </w:p>
        </w:tc>
      </w:tr>
      <w:tr w:rsidR="008F02EB" w:rsidTr="007D73D0">
        <w:trPr>
          <w:trHeight w:val="1950"/>
          <w:jc w:val="center"/>
        </w:trPr>
        <w:tc>
          <w:tcPr>
            <w:tcW w:w="3419" w:type="dxa"/>
            <w:shd w:val="clear" w:color="auto" w:fill="auto"/>
            <w:vAlign w:val="center"/>
            <w:hideMark/>
          </w:tcPr>
          <w:p w:rsidR="008F02EB" w:rsidRDefault="008F02EB" w:rsidP="007D73D0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 anexo em que se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divulguem as bases de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preparação e políticas</w:t>
            </w:r>
            <w:r>
              <w:rPr>
                <w:rFonts w:ascii="Calibri" w:hAnsi="Calibri" w:cs="Calibri"/>
              </w:rPr>
              <w:br/>
              <w:t>contabilísticas adoptadas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 outras divulgações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exigidas pelas NCRF.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8F02EB" w:rsidRDefault="008F02EB" w:rsidP="007D73D0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 w:cs="Calibri"/>
              </w:rPr>
              <w:t>Um anexo com 16 notas</w:t>
            </w:r>
            <w:r w:rsidR="007D73D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previamente estabelecidas</w:t>
            </w:r>
            <w:r>
              <w:rPr>
                <w:rFonts w:ascii="Calibri" w:hAnsi="Calibri" w:cs="Calibri"/>
              </w:rPr>
              <w:br/>
              <w:t xml:space="preserve">por portaria </w:t>
            </w:r>
          </w:p>
        </w:tc>
      </w:tr>
    </w:tbl>
    <w:p w:rsidR="00E0790B" w:rsidRDefault="007D73D0" w:rsidP="00E0790B">
      <w:pPr>
        <w:pStyle w:val="PargrafodaLista"/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Elaboração própria</w:t>
      </w:r>
    </w:p>
    <w:p w:rsidR="00E0790B" w:rsidRDefault="00E079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27257" w:rsidRPr="00986EFC" w:rsidRDefault="00CF08C1" w:rsidP="00986EFC">
      <w:pPr>
        <w:pStyle w:val="Ttulo1"/>
        <w:numPr>
          <w:ilvl w:val="0"/>
          <w:numId w:val="14"/>
        </w:numPr>
        <w:ind w:left="1066" w:hanging="357"/>
        <w:jc w:val="both"/>
      </w:pPr>
      <w:bookmarkStart w:id="2" w:name="_Toc308126197"/>
      <w:r w:rsidRPr="00986EFC">
        <w:lastRenderedPageBreak/>
        <w:t xml:space="preserve">SISTEMA DE NORMALIZAÇÃO CONTABILÍSTICA PARA PEQUENAS ENTIDADES </w:t>
      </w:r>
      <w:r w:rsidR="00825681" w:rsidRPr="00986EFC">
        <w:t>– NCRF-PE</w:t>
      </w:r>
      <w:bookmarkEnd w:id="2"/>
    </w:p>
    <w:p w:rsidR="002F5701" w:rsidRDefault="002F5701" w:rsidP="002F570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</w:p>
    <w:p w:rsidR="00A46EEC" w:rsidRPr="002F5701" w:rsidRDefault="00A46EEC" w:rsidP="00A46EEC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  <w:r w:rsidRPr="002F5701">
        <w:rPr>
          <w:rFonts w:ascii="Arial" w:hAnsi="Arial" w:cs="Arial"/>
          <w:sz w:val="24"/>
          <w:szCs w:val="22"/>
          <w:lang w:val="pt-PT"/>
        </w:rPr>
        <w:t xml:space="preserve">Com a publicação do SNC, foi criada uma norma específica para pequenas entidades que tem como principal </w:t>
      </w:r>
      <w:r w:rsidR="00E54E5E">
        <w:rPr>
          <w:rFonts w:ascii="Arial" w:hAnsi="Arial" w:cs="Arial"/>
          <w:sz w:val="24"/>
          <w:szCs w:val="22"/>
          <w:lang w:val="pt-PT"/>
        </w:rPr>
        <w:t>objectivo</w:t>
      </w:r>
      <w:r w:rsidRPr="002F5701">
        <w:rPr>
          <w:rFonts w:ascii="Arial" w:hAnsi="Arial" w:cs="Arial"/>
          <w:sz w:val="24"/>
          <w:szCs w:val="22"/>
          <w:lang w:val="pt-PT"/>
        </w:rPr>
        <w:t xml:space="preserve"> </w:t>
      </w:r>
      <w:r w:rsidR="00E54E5E">
        <w:rPr>
          <w:rFonts w:ascii="Arial" w:hAnsi="Arial" w:cs="Arial"/>
          <w:sz w:val="24"/>
          <w:szCs w:val="22"/>
          <w:lang w:val="pt-PT"/>
        </w:rPr>
        <w:t xml:space="preserve">a simplificação. </w:t>
      </w:r>
      <w:r w:rsidRPr="002F5701">
        <w:rPr>
          <w:rFonts w:ascii="Arial" w:hAnsi="Arial" w:cs="Arial"/>
          <w:sz w:val="24"/>
          <w:szCs w:val="22"/>
          <w:lang w:val="pt-PT"/>
        </w:rPr>
        <w:t xml:space="preserve">A NRCF-PE foi criada de acordo com os pilares do normativo geral (Reconhecimento, Mensuração e Divulgação) que consiste basicamente na compilação </w:t>
      </w:r>
      <w:r w:rsidR="00A55AA8">
        <w:rPr>
          <w:rFonts w:ascii="Arial" w:hAnsi="Arial" w:cs="Arial"/>
          <w:sz w:val="24"/>
          <w:szCs w:val="22"/>
          <w:lang w:val="pt-PT"/>
        </w:rPr>
        <w:t xml:space="preserve">dos </w:t>
      </w:r>
      <w:r w:rsidRPr="002F5701">
        <w:rPr>
          <w:rFonts w:ascii="Arial" w:hAnsi="Arial" w:cs="Arial"/>
          <w:sz w:val="24"/>
          <w:szCs w:val="22"/>
          <w:lang w:val="pt-PT"/>
        </w:rPr>
        <w:t xml:space="preserve">principais capítulos das normas mais relevantes para as necessidades de relato dessas entidades. </w:t>
      </w:r>
    </w:p>
    <w:p w:rsidR="00CE6820" w:rsidRDefault="00A72E67" w:rsidP="002F570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CE6820">
        <w:rPr>
          <w:rFonts w:ascii="Arial" w:hAnsi="Arial" w:cs="Arial"/>
          <w:sz w:val="24"/>
          <w:szCs w:val="24"/>
        </w:rPr>
        <w:t>A NCRF-PE é uma norma que contempla,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 xml:space="preserve">de </w:t>
      </w:r>
      <w:r w:rsidR="00CE6820">
        <w:rPr>
          <w:rFonts w:ascii="Arial" w:hAnsi="Arial" w:cs="Arial"/>
          <w:sz w:val="24"/>
          <w:szCs w:val="24"/>
        </w:rPr>
        <w:t>forma mais resumida</w:t>
      </w:r>
      <w:r w:rsidRPr="00CE6820">
        <w:rPr>
          <w:rFonts w:ascii="Arial" w:hAnsi="Arial" w:cs="Arial"/>
          <w:sz w:val="24"/>
          <w:szCs w:val="24"/>
        </w:rPr>
        <w:t>, os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princípios gerais de reconhecimento, mensuração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e divulgação previstos nas restantes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NCRF, pi</w:t>
      </w:r>
      <w:r w:rsidR="00CE6820">
        <w:rPr>
          <w:rFonts w:ascii="Arial" w:hAnsi="Arial" w:cs="Arial"/>
          <w:sz w:val="24"/>
          <w:szCs w:val="24"/>
        </w:rPr>
        <w:t>lares essenciais do SNC</w:t>
      </w:r>
      <w:r w:rsidRPr="00CE6820">
        <w:rPr>
          <w:rFonts w:ascii="Arial" w:hAnsi="Arial" w:cs="Arial"/>
          <w:sz w:val="24"/>
          <w:szCs w:val="24"/>
        </w:rPr>
        <w:t>.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="00E54E5E">
        <w:rPr>
          <w:rFonts w:ascii="Arial" w:hAnsi="Arial" w:cs="Arial"/>
          <w:sz w:val="24"/>
          <w:szCs w:val="24"/>
        </w:rPr>
        <w:t>Assim sendo, v</w:t>
      </w:r>
      <w:r w:rsidRPr="00CE6820">
        <w:rPr>
          <w:rFonts w:ascii="Arial" w:hAnsi="Arial" w:cs="Arial"/>
          <w:sz w:val="24"/>
          <w:szCs w:val="24"/>
        </w:rPr>
        <w:t>árias das NCRF não foram contempladas na</w:t>
      </w:r>
      <w:r w:rsid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NCRF-PE,</w:t>
      </w:r>
      <w:r w:rsidR="00CE6820">
        <w:rPr>
          <w:rFonts w:ascii="Arial" w:hAnsi="Arial" w:cs="Arial"/>
          <w:sz w:val="24"/>
          <w:szCs w:val="24"/>
        </w:rPr>
        <w:t xml:space="preserve"> como</w:t>
      </w:r>
      <w:r w:rsidRPr="00CE6820">
        <w:rPr>
          <w:rFonts w:ascii="Arial" w:hAnsi="Arial" w:cs="Arial"/>
          <w:sz w:val="24"/>
          <w:szCs w:val="24"/>
        </w:rPr>
        <w:t xml:space="preserve"> por exemplo, </w:t>
      </w:r>
      <w:r w:rsidR="00CE6820" w:rsidRPr="00CE6820">
        <w:rPr>
          <w:rFonts w:ascii="Arial" w:hAnsi="Arial" w:cs="Arial"/>
          <w:sz w:val="24"/>
          <w:szCs w:val="24"/>
        </w:rPr>
        <w:t>p</w:t>
      </w:r>
      <w:r w:rsidRPr="00CE6820">
        <w:rPr>
          <w:rFonts w:ascii="Arial" w:hAnsi="Arial" w:cs="Arial"/>
          <w:sz w:val="24"/>
          <w:szCs w:val="24"/>
        </w:rPr>
        <w:t>ropriedades de investimento,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imparidade de activos, agricultura,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 xml:space="preserve">entre outras. </w:t>
      </w:r>
      <w:r w:rsidR="00E54E5E">
        <w:rPr>
          <w:rFonts w:ascii="Arial" w:hAnsi="Arial" w:cs="Arial"/>
          <w:sz w:val="24"/>
          <w:szCs w:val="24"/>
        </w:rPr>
        <w:t>Deste modo</w:t>
      </w:r>
      <w:r w:rsidRPr="00CE6820">
        <w:rPr>
          <w:rFonts w:ascii="Arial" w:hAnsi="Arial" w:cs="Arial"/>
          <w:sz w:val="24"/>
          <w:szCs w:val="24"/>
        </w:rPr>
        <w:t xml:space="preserve">, as </w:t>
      </w:r>
      <w:r w:rsidR="00E54E5E">
        <w:rPr>
          <w:rFonts w:ascii="Arial" w:hAnsi="Arial" w:cs="Arial"/>
          <w:sz w:val="24"/>
          <w:szCs w:val="24"/>
        </w:rPr>
        <w:t>pequenas entidades</w:t>
      </w:r>
      <w:r w:rsidRPr="00CE6820">
        <w:rPr>
          <w:rFonts w:ascii="Arial" w:hAnsi="Arial" w:cs="Arial"/>
          <w:sz w:val="24"/>
          <w:szCs w:val="24"/>
        </w:rPr>
        <w:t>, se o pretenderem,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="00E54E5E">
        <w:rPr>
          <w:rFonts w:ascii="Arial" w:hAnsi="Arial" w:cs="Arial"/>
          <w:sz w:val="24"/>
          <w:szCs w:val="24"/>
        </w:rPr>
        <w:t>poderão</w:t>
      </w:r>
      <w:r w:rsidRPr="00CE6820">
        <w:rPr>
          <w:rFonts w:ascii="Arial" w:hAnsi="Arial" w:cs="Arial"/>
          <w:sz w:val="24"/>
          <w:szCs w:val="24"/>
        </w:rPr>
        <w:t xml:space="preserve"> adoptar, em detrimento da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NCRF-PE, o conjunto das 28 NCRF que integram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o</w:t>
      </w:r>
      <w:r w:rsidR="00CE6820">
        <w:rPr>
          <w:rFonts w:ascii="Arial" w:hAnsi="Arial" w:cs="Arial"/>
          <w:sz w:val="24"/>
          <w:szCs w:val="24"/>
        </w:rPr>
        <w:t xml:space="preserve"> SNC, </w:t>
      </w:r>
      <w:r w:rsidR="00E54E5E">
        <w:rPr>
          <w:rFonts w:ascii="Arial" w:hAnsi="Arial" w:cs="Arial"/>
          <w:sz w:val="24"/>
          <w:szCs w:val="24"/>
        </w:rPr>
        <w:t xml:space="preserve">bem como </w:t>
      </w:r>
      <w:r w:rsidR="00CE6820">
        <w:rPr>
          <w:rFonts w:ascii="Arial" w:hAnsi="Arial" w:cs="Arial"/>
          <w:sz w:val="24"/>
          <w:szCs w:val="24"/>
        </w:rPr>
        <w:t>os modelos de demonstrações financeiras</w:t>
      </w:r>
      <w:r w:rsidRPr="00CE6820">
        <w:rPr>
          <w:rFonts w:ascii="Arial" w:hAnsi="Arial" w:cs="Arial"/>
          <w:sz w:val="24"/>
          <w:szCs w:val="24"/>
        </w:rPr>
        <w:t xml:space="preserve"> mais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Pr="00CE6820">
        <w:rPr>
          <w:rFonts w:ascii="Arial" w:hAnsi="Arial" w:cs="Arial"/>
          <w:sz w:val="24"/>
          <w:szCs w:val="24"/>
        </w:rPr>
        <w:t>desenvolvidos.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</w:p>
    <w:p w:rsidR="00891B86" w:rsidRDefault="00891B86" w:rsidP="009C1AD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</w:p>
    <w:p w:rsidR="00A72E67" w:rsidRPr="00CE6820" w:rsidRDefault="00CE6820" w:rsidP="009C1AD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Considera-se</w:t>
      </w:r>
      <w:r w:rsidR="00A72E67" w:rsidRPr="00CE6820">
        <w:rPr>
          <w:rFonts w:ascii="Arial" w:hAnsi="Arial" w:cs="Arial"/>
          <w:sz w:val="24"/>
          <w:szCs w:val="24"/>
        </w:rPr>
        <w:t xml:space="preserve"> uma P</w:t>
      </w:r>
      <w:r w:rsidR="002F5701">
        <w:rPr>
          <w:rFonts w:ascii="Arial" w:hAnsi="Arial" w:cs="Arial"/>
          <w:sz w:val="24"/>
          <w:szCs w:val="24"/>
        </w:rPr>
        <w:t xml:space="preserve">equena </w:t>
      </w:r>
      <w:r w:rsidR="00A72E67" w:rsidRPr="00CE6820">
        <w:rPr>
          <w:rFonts w:ascii="Arial" w:hAnsi="Arial" w:cs="Arial"/>
          <w:sz w:val="24"/>
          <w:szCs w:val="24"/>
        </w:rPr>
        <w:t>E</w:t>
      </w:r>
      <w:r w:rsidR="002F5701">
        <w:rPr>
          <w:rFonts w:ascii="Arial" w:hAnsi="Arial" w:cs="Arial"/>
          <w:sz w:val="24"/>
          <w:szCs w:val="24"/>
        </w:rPr>
        <w:t>ntidade (PE)</w:t>
      </w:r>
      <w:r w:rsidR="00A72E67" w:rsidRPr="00CE6820">
        <w:rPr>
          <w:rFonts w:ascii="Arial" w:hAnsi="Arial" w:cs="Arial"/>
          <w:sz w:val="24"/>
          <w:szCs w:val="24"/>
        </w:rPr>
        <w:t>, podendo utilizar</w:t>
      </w:r>
      <w:r w:rsidRPr="00CE6820">
        <w:rPr>
          <w:rFonts w:ascii="Arial" w:hAnsi="Arial" w:cs="Arial"/>
          <w:sz w:val="24"/>
          <w:szCs w:val="24"/>
        </w:rPr>
        <w:t xml:space="preserve"> </w:t>
      </w:r>
      <w:r w:rsidR="00A72E67" w:rsidRPr="00CE6820">
        <w:rPr>
          <w:rFonts w:ascii="Arial" w:hAnsi="Arial" w:cs="Arial"/>
          <w:sz w:val="24"/>
          <w:szCs w:val="24"/>
        </w:rPr>
        <w:t>a NCRF-PE, aquela que não ultrapassar</w:t>
      </w:r>
      <w:r w:rsidRPr="00CE6820">
        <w:rPr>
          <w:rFonts w:ascii="Arial" w:hAnsi="Arial" w:cs="Arial"/>
          <w:sz w:val="24"/>
          <w:szCs w:val="24"/>
        </w:rPr>
        <w:t xml:space="preserve"> </w:t>
      </w:r>
      <w:r w:rsidR="00A72E67" w:rsidRPr="00CE6820">
        <w:rPr>
          <w:rFonts w:ascii="Arial" w:hAnsi="Arial" w:cs="Arial"/>
          <w:sz w:val="24"/>
          <w:szCs w:val="24"/>
        </w:rPr>
        <w:t>dois dos três limites seguintes</w:t>
      </w:r>
      <w:r w:rsidR="001F736A">
        <w:rPr>
          <w:rFonts w:ascii="Arial" w:hAnsi="Arial" w:cs="Arial"/>
          <w:sz w:val="24"/>
          <w:szCs w:val="24"/>
        </w:rPr>
        <w:t xml:space="preserve"> (de acordo com as alterações introduzidas pela Lei n.º 10/2010)</w:t>
      </w:r>
      <w:r w:rsidR="00A72E67" w:rsidRPr="00CE6820">
        <w:rPr>
          <w:rFonts w:ascii="Arial" w:hAnsi="Arial" w:cs="Arial"/>
          <w:sz w:val="24"/>
          <w:szCs w:val="24"/>
        </w:rPr>
        <w:t>:</w:t>
      </w:r>
    </w:p>
    <w:p w:rsidR="00CE6820" w:rsidRPr="00CE6820" w:rsidRDefault="00A72E67" w:rsidP="009C1AD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CE6820">
        <w:rPr>
          <w:rFonts w:ascii="Arial" w:hAnsi="Arial" w:cs="Arial"/>
          <w:sz w:val="24"/>
          <w:szCs w:val="24"/>
        </w:rPr>
        <w:t>- To</w:t>
      </w:r>
      <w:r w:rsidR="00CE6820" w:rsidRPr="00CE6820">
        <w:rPr>
          <w:rFonts w:ascii="Arial" w:hAnsi="Arial" w:cs="Arial"/>
          <w:sz w:val="24"/>
          <w:szCs w:val="24"/>
        </w:rPr>
        <w:t xml:space="preserve">tal de balanço: </w:t>
      </w:r>
      <w:r w:rsidR="00CE6820">
        <w:rPr>
          <w:rFonts w:ascii="Arial" w:hAnsi="Arial" w:cs="Arial"/>
          <w:sz w:val="24"/>
          <w:szCs w:val="24"/>
        </w:rPr>
        <w:t xml:space="preserve">1 </w:t>
      </w:r>
      <w:r w:rsidR="00CE6820" w:rsidRPr="00CE6820">
        <w:rPr>
          <w:rFonts w:ascii="Arial" w:hAnsi="Arial" w:cs="Arial"/>
          <w:sz w:val="24"/>
          <w:szCs w:val="24"/>
        </w:rPr>
        <w:t>500 000,00 €</w:t>
      </w:r>
    </w:p>
    <w:p w:rsidR="00A72E67" w:rsidRPr="00CE6820" w:rsidRDefault="00A72E67" w:rsidP="009C1AD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CE6820">
        <w:rPr>
          <w:rFonts w:ascii="Arial" w:hAnsi="Arial" w:cs="Arial"/>
          <w:sz w:val="24"/>
          <w:szCs w:val="24"/>
        </w:rPr>
        <w:t>- Total de vendas líquidas e outros rendimentos:</w:t>
      </w:r>
      <w:r w:rsidR="00CE6820" w:rsidRPr="00CE6820">
        <w:rPr>
          <w:rFonts w:ascii="Arial" w:hAnsi="Arial" w:cs="Arial"/>
          <w:sz w:val="24"/>
          <w:szCs w:val="24"/>
        </w:rPr>
        <w:t xml:space="preserve"> </w:t>
      </w:r>
      <w:r w:rsidR="00CE6820">
        <w:rPr>
          <w:rFonts w:ascii="Arial" w:hAnsi="Arial" w:cs="Arial"/>
          <w:sz w:val="24"/>
          <w:szCs w:val="24"/>
        </w:rPr>
        <w:t>3</w:t>
      </w:r>
      <w:r w:rsidR="00CE6820" w:rsidRPr="00CE6820">
        <w:rPr>
          <w:rFonts w:ascii="Arial" w:hAnsi="Arial" w:cs="Arial"/>
          <w:sz w:val="24"/>
          <w:szCs w:val="24"/>
        </w:rPr>
        <w:t xml:space="preserve"> 000 000,00 €</w:t>
      </w:r>
    </w:p>
    <w:p w:rsidR="00A72E67" w:rsidRDefault="00A72E67" w:rsidP="009C1AD1">
      <w:pPr>
        <w:pStyle w:val="PargrafodaLista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CE6820">
        <w:rPr>
          <w:rFonts w:ascii="Arial" w:hAnsi="Arial" w:cs="Arial"/>
          <w:sz w:val="24"/>
          <w:szCs w:val="24"/>
        </w:rPr>
        <w:t>- Número de trabalhadores empregados em</w:t>
      </w:r>
      <w:r w:rsidR="00CE6820" w:rsidRPr="00CE6820">
        <w:rPr>
          <w:rFonts w:ascii="Arial" w:hAnsi="Arial" w:cs="Arial"/>
          <w:sz w:val="24"/>
          <w:szCs w:val="24"/>
        </w:rPr>
        <w:t xml:space="preserve"> média durante o exercício: 5</w:t>
      </w:r>
      <w:r w:rsidRPr="00CE6820">
        <w:rPr>
          <w:rFonts w:ascii="Arial" w:hAnsi="Arial" w:cs="Arial"/>
          <w:sz w:val="24"/>
          <w:szCs w:val="24"/>
        </w:rPr>
        <w:t>0</w:t>
      </w:r>
    </w:p>
    <w:p w:rsidR="00A46EEC" w:rsidRDefault="00A46EEC" w:rsidP="00891B86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</w:p>
    <w:p w:rsidR="00891B86" w:rsidRDefault="009C1AD1" w:rsidP="00891B86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  <w:r w:rsidRPr="009C1AD1">
        <w:rPr>
          <w:rFonts w:ascii="Arial" w:hAnsi="Arial" w:cs="Arial"/>
          <w:sz w:val="24"/>
          <w:szCs w:val="22"/>
          <w:lang w:val="pt-PT"/>
        </w:rPr>
        <w:t xml:space="preserve">Não estão incluídas nas Pequenas Entidades, independentemente dos valores apresentados dos itens </w:t>
      </w:r>
      <w:r w:rsidR="0019283B">
        <w:rPr>
          <w:rFonts w:ascii="Arial" w:hAnsi="Arial" w:cs="Arial"/>
          <w:sz w:val="24"/>
          <w:szCs w:val="22"/>
          <w:lang w:val="pt-PT"/>
        </w:rPr>
        <w:t xml:space="preserve">acima </w:t>
      </w:r>
      <w:r w:rsidRPr="009C1AD1">
        <w:rPr>
          <w:rFonts w:ascii="Arial" w:hAnsi="Arial" w:cs="Arial"/>
          <w:sz w:val="24"/>
          <w:szCs w:val="22"/>
          <w:lang w:val="pt-PT"/>
        </w:rPr>
        <w:t>descritos, as entidades que por razões legais ou estatutárias tenham as suas demonstrações financeiras sujeitas a certificação legal das contas.</w:t>
      </w:r>
    </w:p>
    <w:p w:rsidR="00891B86" w:rsidRPr="00891B86" w:rsidRDefault="00891B86" w:rsidP="00891B86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  <w:r>
        <w:rPr>
          <w:rFonts w:ascii="Arial" w:hAnsi="Arial" w:cs="Arial"/>
          <w:sz w:val="24"/>
          <w:szCs w:val="22"/>
          <w:lang w:val="pt-PT"/>
        </w:rPr>
        <w:t xml:space="preserve">Para as entidades que cumpram os requisitos acima descritos, foi publicado o </w:t>
      </w:r>
      <w:r w:rsidRPr="00891B86">
        <w:rPr>
          <w:rFonts w:ascii="Arial" w:hAnsi="Arial" w:cs="Arial"/>
          <w:bCs/>
          <w:sz w:val="24"/>
          <w:szCs w:val="24"/>
        </w:rPr>
        <w:t xml:space="preserve">Aviso n.º 15654/2009, de 27 de </w:t>
      </w:r>
      <w:proofErr w:type="spellStart"/>
      <w:r w:rsidRPr="00891B86">
        <w:rPr>
          <w:rFonts w:ascii="Arial" w:hAnsi="Arial" w:cs="Arial"/>
          <w:bCs/>
          <w:sz w:val="24"/>
          <w:szCs w:val="24"/>
        </w:rPr>
        <w:t>Agosto</w:t>
      </w:r>
      <w:proofErr w:type="spellEnd"/>
      <w:r w:rsidRPr="00891B8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(N</w:t>
      </w:r>
      <w:r w:rsidRPr="00891B86">
        <w:rPr>
          <w:rFonts w:ascii="Arial" w:hAnsi="Arial" w:cs="Arial"/>
          <w:sz w:val="24"/>
          <w:szCs w:val="24"/>
        </w:rPr>
        <w:t xml:space="preserve">orma </w:t>
      </w:r>
      <w:proofErr w:type="spellStart"/>
      <w:r w:rsidRPr="00891B86">
        <w:rPr>
          <w:rFonts w:ascii="Arial" w:hAnsi="Arial" w:cs="Arial"/>
          <w:sz w:val="24"/>
          <w:szCs w:val="24"/>
        </w:rPr>
        <w:t>contabilística</w:t>
      </w:r>
      <w:proofErr w:type="spellEnd"/>
      <w:r w:rsidRPr="00891B86">
        <w:rPr>
          <w:rFonts w:ascii="Arial" w:hAnsi="Arial" w:cs="Arial"/>
          <w:sz w:val="24"/>
          <w:szCs w:val="24"/>
        </w:rPr>
        <w:t xml:space="preserve"> e de </w:t>
      </w:r>
      <w:proofErr w:type="spellStart"/>
      <w:r w:rsidRPr="00891B86">
        <w:rPr>
          <w:rFonts w:ascii="Arial" w:hAnsi="Arial" w:cs="Arial"/>
          <w:sz w:val="24"/>
          <w:szCs w:val="24"/>
        </w:rPr>
        <w:t>relato</w:t>
      </w:r>
      <w:proofErr w:type="spellEnd"/>
      <w:r w:rsidRPr="00891B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1B86">
        <w:rPr>
          <w:rFonts w:ascii="Arial" w:hAnsi="Arial" w:cs="Arial"/>
          <w:sz w:val="24"/>
          <w:szCs w:val="24"/>
        </w:rPr>
        <w:t>financeiro</w:t>
      </w:r>
      <w:proofErr w:type="spellEnd"/>
      <w:r w:rsidRPr="00891B86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891B86">
        <w:rPr>
          <w:rFonts w:ascii="Arial" w:hAnsi="Arial" w:cs="Arial"/>
          <w:sz w:val="24"/>
          <w:szCs w:val="24"/>
        </w:rPr>
        <w:t>pequenas</w:t>
      </w:r>
      <w:proofErr w:type="spellEnd"/>
      <w:r w:rsidRPr="00891B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1B86">
        <w:rPr>
          <w:rFonts w:ascii="Arial" w:hAnsi="Arial" w:cs="Arial"/>
          <w:sz w:val="24"/>
          <w:szCs w:val="24"/>
        </w:rPr>
        <w:t>entidades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r w:rsidR="00A46EE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CRF-PE).</w:t>
      </w:r>
    </w:p>
    <w:p w:rsidR="002F5701" w:rsidRPr="002F5701" w:rsidRDefault="00B42506" w:rsidP="009C1AD1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  <w:r>
        <w:rPr>
          <w:rFonts w:ascii="Arial" w:hAnsi="Arial" w:cs="Arial"/>
          <w:sz w:val="24"/>
          <w:szCs w:val="22"/>
          <w:lang w:val="pt-PT"/>
        </w:rPr>
        <w:t>Tendo em conta que a NCRF-PE</w:t>
      </w:r>
      <w:r w:rsidR="002F5701" w:rsidRPr="002F5701">
        <w:rPr>
          <w:rFonts w:ascii="Arial" w:hAnsi="Arial" w:cs="Arial"/>
          <w:sz w:val="24"/>
          <w:szCs w:val="22"/>
          <w:lang w:val="pt-PT"/>
        </w:rPr>
        <w:t xml:space="preserve"> apresenta os aspectos mínimos de reconhecimento, mensuração e divulgação das demonstrações financeiras, estipula-se que, sempre que a norma não responda a aspectos particulares ou </w:t>
      </w:r>
      <w:r w:rsidR="00546103">
        <w:rPr>
          <w:rFonts w:ascii="Arial" w:hAnsi="Arial" w:cs="Arial"/>
          <w:sz w:val="24"/>
          <w:szCs w:val="22"/>
          <w:lang w:val="pt-PT"/>
        </w:rPr>
        <w:t xml:space="preserve">que </w:t>
      </w:r>
      <w:r w:rsidR="002F5701" w:rsidRPr="002F5701">
        <w:rPr>
          <w:rFonts w:ascii="Arial" w:hAnsi="Arial" w:cs="Arial"/>
          <w:sz w:val="24"/>
          <w:szCs w:val="22"/>
          <w:lang w:val="pt-PT"/>
        </w:rPr>
        <w:t xml:space="preserve">exista uma lacuna que seja de tal forma relevante que o seu não preenchimento coloque em causa o objectivo de ser prestada informação que, de forma verdadeira e apropriada, traduza a </w:t>
      </w:r>
      <w:r w:rsidR="002F5701" w:rsidRPr="002F5701">
        <w:rPr>
          <w:rFonts w:ascii="Arial" w:hAnsi="Arial" w:cs="Arial"/>
          <w:sz w:val="24"/>
          <w:szCs w:val="22"/>
          <w:lang w:val="pt-PT"/>
        </w:rPr>
        <w:lastRenderedPageBreak/>
        <w:t>posição financeira numa certa data e o desempenho para o período abrangido, a entidade deverá recorrer à superação dessa lacuna.</w:t>
      </w:r>
    </w:p>
    <w:p w:rsidR="00891B86" w:rsidRDefault="00891B86" w:rsidP="002F5701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</w:p>
    <w:p w:rsidR="002F5701" w:rsidRPr="009C1AD1" w:rsidRDefault="002F5701" w:rsidP="002F5701">
      <w:pPr>
        <w:pStyle w:val="Corpodetexto"/>
        <w:spacing w:after="0" w:line="360" w:lineRule="auto"/>
        <w:ind w:firstLine="567"/>
        <w:jc w:val="both"/>
        <w:rPr>
          <w:rFonts w:ascii="Arial" w:hAnsi="Arial" w:cs="Arial"/>
          <w:sz w:val="24"/>
          <w:szCs w:val="22"/>
          <w:lang w:val="pt-PT"/>
        </w:rPr>
      </w:pPr>
      <w:r w:rsidRPr="002F5701">
        <w:rPr>
          <w:rFonts w:ascii="Arial" w:hAnsi="Arial" w:cs="Arial"/>
          <w:sz w:val="24"/>
          <w:szCs w:val="22"/>
          <w:lang w:val="pt-PT"/>
        </w:rPr>
        <w:t xml:space="preserve">Em contabilidade, a norma (NCFR-PE) segue de forma muito próxima as NCRF nas matérias de reconhecimento; apresenta como regime regra de mensuração o modelo do custo e reduz substancialmente as exigências de divulgação, permitindo a utilização de modelos de demonstrações financeiras reduzidos e dispensando a elaboração da demonstração dos fluxos de caixa, bem como dispensa a construção da demonstração </w:t>
      </w:r>
      <w:r w:rsidRPr="009C1AD1">
        <w:rPr>
          <w:rFonts w:ascii="Arial" w:hAnsi="Arial" w:cs="Arial"/>
          <w:sz w:val="24"/>
          <w:szCs w:val="22"/>
          <w:lang w:val="pt-PT"/>
        </w:rPr>
        <w:t>das alterações no capital próprio.</w:t>
      </w:r>
    </w:p>
    <w:p w:rsidR="009C1AD1" w:rsidRPr="00015E73" w:rsidRDefault="009C1AD1" w:rsidP="00015E73">
      <w:pPr>
        <w:pStyle w:val="Corpodetexto"/>
        <w:spacing w:after="0" w:line="360" w:lineRule="auto"/>
        <w:ind w:firstLine="426"/>
        <w:jc w:val="both"/>
        <w:rPr>
          <w:rFonts w:ascii="Arial" w:hAnsi="Arial" w:cs="Arial"/>
          <w:sz w:val="24"/>
          <w:szCs w:val="22"/>
          <w:lang w:val="pt-PT"/>
        </w:rPr>
      </w:pPr>
      <w:r w:rsidRPr="009C1AD1">
        <w:rPr>
          <w:rFonts w:ascii="Arial" w:hAnsi="Arial" w:cs="Arial"/>
          <w:sz w:val="24"/>
          <w:szCs w:val="22"/>
          <w:lang w:val="pt-PT"/>
        </w:rPr>
        <w:t>Pode</w:t>
      </w:r>
      <w:r w:rsidR="00B42506">
        <w:rPr>
          <w:rFonts w:ascii="Arial" w:hAnsi="Arial" w:cs="Arial"/>
          <w:sz w:val="24"/>
          <w:szCs w:val="22"/>
          <w:lang w:val="pt-PT"/>
        </w:rPr>
        <w:t xml:space="preserve"> então </w:t>
      </w:r>
      <w:r w:rsidRPr="009C1AD1">
        <w:rPr>
          <w:rFonts w:ascii="Arial" w:hAnsi="Arial" w:cs="Arial"/>
          <w:sz w:val="24"/>
          <w:szCs w:val="22"/>
          <w:lang w:val="pt-PT"/>
        </w:rPr>
        <w:t xml:space="preserve">dizer-se que a NCRF-PE é um resumo da NCRF que não constitui, por si só, um referencial contabilístico autónomo, pois o tratamento contabilístico de activos, passivos, rendimentos e gastos abrangidos obedecem, no essencial, aos mesmos princípios das </w:t>
      </w:r>
      <w:r w:rsidRPr="00015E73">
        <w:rPr>
          <w:rFonts w:ascii="Arial" w:hAnsi="Arial" w:cs="Arial"/>
          <w:sz w:val="24"/>
          <w:szCs w:val="22"/>
          <w:lang w:val="pt-PT"/>
        </w:rPr>
        <w:t>NCRF e de todo o SNC.</w:t>
      </w:r>
    </w:p>
    <w:p w:rsidR="00546103" w:rsidRDefault="00546103" w:rsidP="00B42506">
      <w:pPr>
        <w:pStyle w:val="Corpodetexto"/>
        <w:spacing w:after="0" w:line="360" w:lineRule="auto"/>
        <w:ind w:left="142" w:firstLine="425"/>
        <w:jc w:val="both"/>
        <w:rPr>
          <w:rFonts w:ascii="Arial" w:hAnsi="Arial" w:cs="Arial"/>
          <w:sz w:val="24"/>
          <w:szCs w:val="22"/>
          <w:lang w:val="pt-PT"/>
        </w:rPr>
      </w:pPr>
    </w:p>
    <w:p w:rsidR="00B42506" w:rsidRDefault="00015E73" w:rsidP="00B42506">
      <w:pPr>
        <w:pStyle w:val="Corpodetexto"/>
        <w:spacing w:after="0" w:line="360" w:lineRule="auto"/>
        <w:ind w:left="142"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015E73">
        <w:rPr>
          <w:rFonts w:ascii="Arial" w:hAnsi="Arial" w:cs="Arial"/>
          <w:sz w:val="24"/>
          <w:szCs w:val="22"/>
          <w:lang w:val="pt-PT"/>
        </w:rPr>
        <w:t xml:space="preserve">Pode ver-se a inspiração da NRCF-PE nas NRCF no seguinte </w:t>
      </w:r>
      <w:r w:rsidR="00FD3EEB">
        <w:rPr>
          <w:rFonts w:ascii="Arial" w:hAnsi="Arial" w:cs="Arial"/>
          <w:sz w:val="24"/>
          <w:szCs w:val="22"/>
          <w:lang w:val="pt-PT"/>
        </w:rPr>
        <w:t>quadro</w:t>
      </w:r>
      <w:r w:rsidRPr="00015E73">
        <w:rPr>
          <w:rFonts w:ascii="Arial" w:hAnsi="Arial" w:cs="Arial"/>
          <w:sz w:val="24"/>
          <w:szCs w:val="22"/>
          <w:lang w:val="pt-PT"/>
        </w:rPr>
        <w:t>:</w:t>
      </w:r>
    </w:p>
    <w:p w:rsidR="00015E73" w:rsidRDefault="00015E73" w:rsidP="00B42506">
      <w:pPr>
        <w:pStyle w:val="Corpodetexto"/>
        <w:spacing w:after="0" w:line="360" w:lineRule="auto"/>
        <w:ind w:left="142" w:firstLine="425"/>
        <w:jc w:val="center"/>
        <w:rPr>
          <w:rFonts w:ascii="Arial" w:hAnsi="Arial" w:cs="Arial"/>
          <w:sz w:val="24"/>
          <w:szCs w:val="22"/>
          <w:lang w:val="pt-PT"/>
        </w:rPr>
      </w:pPr>
      <w:r>
        <w:rPr>
          <w:rFonts w:ascii="Arial" w:hAnsi="Arial" w:cs="Arial"/>
          <w:noProof/>
          <w:lang w:val="pt-PT" w:eastAsia="pt-PT"/>
        </w:rPr>
        <w:drawing>
          <wp:inline distT="0" distB="0" distL="0" distR="0">
            <wp:extent cx="5373696" cy="4871406"/>
            <wp:effectExtent l="38100" t="0" r="55554" b="62544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70" cy="487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5E73" w:rsidRDefault="00015E73" w:rsidP="008E2183">
      <w:pPr>
        <w:pStyle w:val="Corpodetexto"/>
        <w:spacing w:line="360" w:lineRule="auto"/>
        <w:ind w:firstLine="426"/>
        <w:jc w:val="center"/>
        <w:rPr>
          <w:rFonts w:ascii="Arial" w:hAnsi="Arial" w:cs="Arial"/>
          <w:sz w:val="24"/>
          <w:szCs w:val="22"/>
          <w:lang w:val="pt-PT"/>
        </w:rPr>
      </w:pPr>
      <w:r>
        <w:rPr>
          <w:rFonts w:ascii="Arial" w:hAnsi="Arial" w:cs="Arial"/>
          <w:sz w:val="24"/>
          <w:szCs w:val="22"/>
          <w:lang w:val="pt-PT"/>
        </w:rPr>
        <w:t>Fonte:</w:t>
      </w:r>
      <w:r w:rsidR="008E2183">
        <w:rPr>
          <w:rFonts w:ascii="Arial" w:hAnsi="Arial" w:cs="Arial"/>
          <w:sz w:val="24"/>
          <w:szCs w:val="22"/>
          <w:lang w:val="pt-PT"/>
        </w:rPr>
        <w:t xml:space="preserve"> Normas Contabilísticas e de Relato Financeiro (página 15)</w:t>
      </w:r>
    </w:p>
    <w:p w:rsidR="00693F7A" w:rsidRPr="00693F7A" w:rsidRDefault="00693F7A" w:rsidP="00693F7A">
      <w:pPr>
        <w:pStyle w:val="Corpodetexto"/>
        <w:spacing w:after="0" w:line="360" w:lineRule="auto"/>
        <w:ind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693F7A">
        <w:rPr>
          <w:rFonts w:ascii="Arial" w:hAnsi="Arial" w:cs="Arial"/>
          <w:sz w:val="24"/>
          <w:szCs w:val="22"/>
          <w:lang w:val="pt-PT"/>
        </w:rPr>
        <w:lastRenderedPageBreak/>
        <w:t>No quadro da NCRF-PE, cada componente das demonstrações financeiras deve ser identificado claramente e a informação seguinte mostrada de forma proeminente e repetida quando for necessário para a devida compreensão da informação apresentada:</w:t>
      </w:r>
    </w:p>
    <w:p w:rsidR="00693F7A" w:rsidRPr="00693F7A" w:rsidRDefault="00693F7A" w:rsidP="00693F7A">
      <w:pPr>
        <w:pStyle w:val="Corpodetexto"/>
        <w:spacing w:after="0" w:line="360" w:lineRule="auto"/>
        <w:ind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693F7A">
        <w:rPr>
          <w:rFonts w:ascii="Arial" w:hAnsi="Arial" w:cs="Arial"/>
          <w:sz w:val="24"/>
          <w:szCs w:val="22"/>
          <w:lang w:val="pt-PT"/>
        </w:rPr>
        <w:t>- O nome da entidade que relata ou outros meios de identificação, e qualquer alteração nessa informação desde a data do balanço anterior;</w:t>
      </w:r>
    </w:p>
    <w:p w:rsidR="00693F7A" w:rsidRPr="00693F7A" w:rsidRDefault="00693F7A" w:rsidP="00693F7A">
      <w:pPr>
        <w:pStyle w:val="Corpodetexto"/>
        <w:spacing w:after="0" w:line="360" w:lineRule="auto"/>
        <w:ind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693F7A">
        <w:rPr>
          <w:rFonts w:ascii="Arial" w:hAnsi="Arial" w:cs="Arial"/>
          <w:sz w:val="24"/>
          <w:szCs w:val="22"/>
          <w:lang w:val="pt-PT"/>
        </w:rPr>
        <w:t>- A data do balanço ou o período abrangido pelas demonstrações financeiras, conforme o que for apropriado para esse componente das demonstrações financeiras;</w:t>
      </w:r>
    </w:p>
    <w:p w:rsidR="00693F7A" w:rsidRPr="00693F7A" w:rsidRDefault="00693F7A" w:rsidP="00693F7A">
      <w:pPr>
        <w:pStyle w:val="Corpodetexto"/>
        <w:spacing w:after="0" w:line="360" w:lineRule="auto"/>
        <w:ind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693F7A">
        <w:rPr>
          <w:rFonts w:ascii="Arial" w:hAnsi="Arial" w:cs="Arial"/>
          <w:sz w:val="24"/>
          <w:szCs w:val="22"/>
          <w:lang w:val="pt-PT"/>
        </w:rPr>
        <w:t xml:space="preserve">- A moeda de apresentação; </w:t>
      </w:r>
    </w:p>
    <w:p w:rsidR="00FD3EEB" w:rsidRDefault="00693F7A" w:rsidP="00693F7A">
      <w:pPr>
        <w:pStyle w:val="Corpodetexto"/>
        <w:spacing w:after="0" w:line="360" w:lineRule="auto"/>
        <w:ind w:firstLine="425"/>
        <w:jc w:val="both"/>
        <w:rPr>
          <w:rFonts w:ascii="Arial" w:hAnsi="Arial" w:cs="Arial"/>
          <w:sz w:val="24"/>
          <w:szCs w:val="22"/>
          <w:lang w:val="pt-PT"/>
        </w:rPr>
      </w:pPr>
      <w:r w:rsidRPr="00693F7A">
        <w:rPr>
          <w:rFonts w:ascii="Arial" w:hAnsi="Arial" w:cs="Arial"/>
          <w:sz w:val="24"/>
          <w:szCs w:val="22"/>
          <w:lang w:val="pt-PT"/>
        </w:rPr>
        <w:t>- O nível de arredondamento usado na apresentação de quantias nas demonstrações financeiras.</w:t>
      </w:r>
    </w:p>
    <w:p w:rsidR="00B42506" w:rsidRDefault="00B42506" w:rsidP="00F53FE2">
      <w:pPr>
        <w:pStyle w:val="Corpodetexto"/>
        <w:spacing w:after="0" w:line="360" w:lineRule="auto"/>
        <w:ind w:firstLine="708"/>
        <w:jc w:val="both"/>
        <w:rPr>
          <w:rFonts w:ascii="Arial" w:hAnsi="Arial" w:cs="Arial"/>
          <w:sz w:val="24"/>
          <w:szCs w:val="22"/>
          <w:lang w:val="pt-PT"/>
        </w:rPr>
      </w:pPr>
    </w:p>
    <w:p w:rsidR="00F53FE2" w:rsidRDefault="00546103" w:rsidP="00F53FE2">
      <w:pPr>
        <w:pStyle w:val="Corpodetexto"/>
        <w:spacing w:after="0" w:line="360" w:lineRule="auto"/>
        <w:ind w:firstLine="708"/>
        <w:jc w:val="both"/>
        <w:rPr>
          <w:rFonts w:ascii="Arial" w:hAnsi="Arial" w:cs="Arial"/>
          <w:sz w:val="24"/>
          <w:szCs w:val="22"/>
          <w:lang w:val="pt-PT"/>
        </w:rPr>
      </w:pPr>
      <w:r>
        <w:rPr>
          <w:rFonts w:ascii="Arial" w:hAnsi="Arial" w:cs="Arial"/>
          <w:sz w:val="24"/>
          <w:szCs w:val="22"/>
          <w:lang w:val="pt-PT"/>
        </w:rPr>
        <w:t>Seguidamente, apresento um e</w:t>
      </w:r>
      <w:r w:rsidR="00F53FE2">
        <w:rPr>
          <w:rFonts w:ascii="Arial" w:hAnsi="Arial" w:cs="Arial"/>
          <w:sz w:val="24"/>
          <w:szCs w:val="22"/>
          <w:lang w:val="pt-PT"/>
        </w:rPr>
        <w:t>xemplo de um balanço reduzido</w:t>
      </w:r>
      <w:r w:rsidR="00B42506">
        <w:rPr>
          <w:rFonts w:ascii="Arial" w:hAnsi="Arial" w:cs="Arial"/>
          <w:sz w:val="24"/>
          <w:szCs w:val="22"/>
          <w:lang w:val="pt-PT"/>
        </w:rPr>
        <w:t>, que as pequenas entidades estão obrigadas a apresentar</w:t>
      </w:r>
      <w:r w:rsidR="00F53FE2">
        <w:rPr>
          <w:rFonts w:ascii="Arial" w:hAnsi="Arial" w:cs="Arial"/>
          <w:sz w:val="24"/>
          <w:szCs w:val="22"/>
          <w:lang w:val="pt-PT"/>
        </w:rPr>
        <w:t>:</w:t>
      </w:r>
    </w:p>
    <w:p w:rsidR="00A46EEC" w:rsidRDefault="00F53FE2" w:rsidP="00546103">
      <w:pPr>
        <w:pStyle w:val="Corpodetexto"/>
        <w:spacing w:after="0" w:line="360" w:lineRule="auto"/>
        <w:jc w:val="center"/>
        <w:rPr>
          <w:rFonts w:ascii="Arial" w:hAnsi="Arial" w:cs="Arial"/>
          <w:sz w:val="24"/>
        </w:rPr>
      </w:pPr>
      <w:r>
        <w:rPr>
          <w:noProof/>
          <w:lang w:val="pt-PT" w:eastAsia="pt-PT"/>
        </w:rPr>
        <w:drawing>
          <wp:inline distT="0" distB="0" distL="0" distR="0">
            <wp:extent cx="4130730" cy="5611091"/>
            <wp:effectExtent l="19050" t="0" r="3120" b="0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383" cy="562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6EEC">
        <w:rPr>
          <w:rFonts w:ascii="Arial" w:hAnsi="Arial" w:cs="Arial"/>
          <w:sz w:val="24"/>
        </w:rPr>
        <w:br w:type="page"/>
      </w:r>
    </w:p>
    <w:p w:rsidR="00FB5318" w:rsidRPr="00986EFC" w:rsidRDefault="00CF08C1" w:rsidP="00986EFC">
      <w:pPr>
        <w:pStyle w:val="Ttulo1"/>
        <w:numPr>
          <w:ilvl w:val="0"/>
          <w:numId w:val="14"/>
        </w:numPr>
        <w:ind w:left="1066" w:hanging="357"/>
        <w:jc w:val="both"/>
      </w:pPr>
      <w:bookmarkStart w:id="3" w:name="_Toc308126198"/>
      <w:r w:rsidRPr="00986EFC">
        <w:lastRenderedPageBreak/>
        <w:t>NORMALIZAÇÃO CONTABILÍSTICA PARA MICROENTIDADES</w:t>
      </w:r>
      <w:bookmarkEnd w:id="3"/>
    </w:p>
    <w:p w:rsidR="00E26F19" w:rsidRDefault="00E26F19" w:rsidP="002F5701">
      <w:pPr>
        <w:pStyle w:val="Default"/>
        <w:spacing w:line="360" w:lineRule="auto"/>
        <w:ind w:firstLine="520"/>
        <w:jc w:val="both"/>
        <w:rPr>
          <w:rFonts w:ascii="Arial" w:hAnsi="Arial" w:cs="Arial"/>
        </w:rPr>
      </w:pPr>
    </w:p>
    <w:p w:rsidR="00634ED5" w:rsidRDefault="003878FD" w:rsidP="002F5701">
      <w:pPr>
        <w:pStyle w:val="Default"/>
        <w:spacing w:line="360" w:lineRule="auto"/>
        <w:ind w:firstLine="520"/>
        <w:jc w:val="both"/>
        <w:rPr>
          <w:rFonts w:ascii="Arial" w:hAnsi="Arial" w:cs="Arial"/>
        </w:rPr>
      </w:pPr>
      <w:r w:rsidRPr="002F5701">
        <w:rPr>
          <w:rFonts w:ascii="Arial" w:hAnsi="Arial" w:cs="Arial"/>
        </w:rPr>
        <w:t>Como já referi anteriormente, e</w:t>
      </w:r>
      <w:r w:rsidR="006D167A" w:rsidRPr="002F5701">
        <w:rPr>
          <w:rFonts w:ascii="Arial" w:hAnsi="Arial" w:cs="Arial"/>
        </w:rPr>
        <w:t>stá</w:t>
      </w:r>
      <w:r w:rsidR="004913EE" w:rsidRPr="002F5701">
        <w:rPr>
          <w:rFonts w:ascii="Arial" w:hAnsi="Arial" w:cs="Arial"/>
        </w:rPr>
        <w:t xml:space="preserve"> prevista </w:t>
      </w:r>
      <w:r w:rsidRPr="002F5701">
        <w:rPr>
          <w:rFonts w:ascii="Arial" w:hAnsi="Arial" w:cs="Arial"/>
        </w:rPr>
        <w:t>n</w:t>
      </w:r>
      <w:r w:rsidR="004913EE" w:rsidRPr="002F5701">
        <w:rPr>
          <w:rFonts w:ascii="Arial" w:hAnsi="Arial" w:cs="Arial"/>
        </w:rPr>
        <w:t>o SNC uma norma contabilística para pequenas entidades (a NCRF-PE),</w:t>
      </w:r>
      <w:r w:rsidR="004913EE" w:rsidRPr="006D167A">
        <w:rPr>
          <w:rFonts w:ascii="Arial" w:hAnsi="Arial" w:cs="Arial"/>
        </w:rPr>
        <w:t xml:space="preserve"> cujo conceito foi entretanto revisto pela L</w:t>
      </w:r>
      <w:r w:rsidR="006D167A">
        <w:rPr>
          <w:rFonts w:ascii="Arial" w:hAnsi="Arial" w:cs="Arial"/>
        </w:rPr>
        <w:t>ei n.º 20/2010, de 23 de Agosto. No entanto,</w:t>
      </w:r>
      <w:r w:rsidR="004913EE" w:rsidRPr="006D167A">
        <w:rPr>
          <w:rFonts w:ascii="Arial" w:hAnsi="Arial" w:cs="Arial"/>
        </w:rPr>
        <w:t xml:space="preserve"> foi entendido pelo legis</w:t>
      </w:r>
      <w:r>
        <w:rPr>
          <w:rFonts w:ascii="Arial" w:hAnsi="Arial" w:cs="Arial"/>
        </w:rPr>
        <w:t>lador que essa norma seria ainda</w:t>
      </w:r>
      <w:r w:rsidR="004913EE" w:rsidRPr="006D167A">
        <w:rPr>
          <w:rFonts w:ascii="Arial" w:hAnsi="Arial" w:cs="Arial"/>
        </w:rPr>
        <w:t xml:space="preserve"> excessiva para entidades com menores exigências qualitativas </w:t>
      </w:r>
      <w:r w:rsidR="006D167A">
        <w:rPr>
          <w:rFonts w:ascii="Arial" w:hAnsi="Arial" w:cs="Arial"/>
        </w:rPr>
        <w:t>ao nível do</w:t>
      </w:r>
      <w:r w:rsidR="004913EE" w:rsidRPr="006D167A">
        <w:rPr>
          <w:rFonts w:ascii="Arial" w:hAnsi="Arial" w:cs="Arial"/>
        </w:rPr>
        <w:t xml:space="preserve"> relato financeiro.</w:t>
      </w:r>
    </w:p>
    <w:p w:rsidR="00871F74" w:rsidRPr="00FB5318" w:rsidRDefault="006D167A" w:rsidP="002F5701">
      <w:pPr>
        <w:pStyle w:val="Default"/>
        <w:spacing w:line="360" w:lineRule="auto"/>
        <w:ind w:firstLine="520"/>
        <w:jc w:val="both"/>
        <w:rPr>
          <w:rFonts w:ascii="Arial" w:hAnsi="Arial" w:cs="Arial"/>
        </w:rPr>
      </w:pPr>
      <w:r>
        <w:rPr>
          <w:rFonts w:ascii="Arial" w:hAnsi="Arial" w:cs="Arial"/>
        </w:rPr>
        <w:t>O facto de se</w:t>
      </w:r>
      <w:r w:rsidRPr="006D167A">
        <w:rPr>
          <w:rFonts w:ascii="Arial" w:hAnsi="Arial" w:cs="Arial"/>
        </w:rPr>
        <w:t xml:space="preserve"> tratar</w:t>
      </w:r>
      <w:r>
        <w:rPr>
          <w:rFonts w:ascii="Arial" w:hAnsi="Arial" w:cs="Arial"/>
        </w:rPr>
        <w:t xml:space="preserve"> </w:t>
      </w:r>
      <w:r w:rsidRPr="006D167A">
        <w:rPr>
          <w:rFonts w:ascii="Arial" w:hAnsi="Arial" w:cs="Arial"/>
        </w:rPr>
        <w:t>de um sistema assente em prin</w:t>
      </w:r>
      <w:r w:rsidR="003878FD">
        <w:rPr>
          <w:rFonts w:ascii="Arial" w:hAnsi="Arial" w:cs="Arial"/>
        </w:rPr>
        <w:t>cípios e não em regras, obriga</w:t>
      </w:r>
      <w:r w:rsidRPr="006D167A">
        <w:rPr>
          <w:rFonts w:ascii="Arial" w:hAnsi="Arial" w:cs="Arial"/>
        </w:rPr>
        <w:t xml:space="preserve"> à manutenção de sistemas contabilísticos e de informação de suporte para o relato financeiro bastante exigentes, para os quais as empresas de pequena d</w:t>
      </w:r>
      <w:r>
        <w:rPr>
          <w:rFonts w:ascii="Arial" w:hAnsi="Arial" w:cs="Arial"/>
        </w:rPr>
        <w:t>imen</w:t>
      </w:r>
      <w:r>
        <w:rPr>
          <w:rFonts w:ascii="Arial" w:hAnsi="Arial" w:cs="Arial"/>
        </w:rPr>
        <w:softHyphen/>
        <w:t xml:space="preserve">são não </w:t>
      </w:r>
      <w:r w:rsidR="00634ED5">
        <w:rPr>
          <w:rFonts w:ascii="Arial" w:hAnsi="Arial" w:cs="Arial"/>
        </w:rPr>
        <w:t>estariam</w:t>
      </w:r>
      <w:r w:rsidRPr="00FB5318">
        <w:rPr>
          <w:rFonts w:ascii="Arial" w:hAnsi="Arial" w:cs="Arial"/>
        </w:rPr>
        <w:t xml:space="preserve"> preparadas e cuja relação benefício/custo dificilmente seria suportável. </w:t>
      </w:r>
    </w:p>
    <w:p w:rsidR="00634ED5" w:rsidRDefault="006D167A" w:rsidP="00FB5318">
      <w:pPr>
        <w:autoSpaceDE w:val="0"/>
        <w:autoSpaceDN w:val="0"/>
        <w:adjustRightInd w:val="0"/>
        <w:spacing w:before="40" w:after="0" w:line="360" w:lineRule="auto"/>
        <w:ind w:firstLine="500"/>
        <w:jc w:val="both"/>
        <w:rPr>
          <w:rFonts w:ascii="Arial" w:hAnsi="Arial" w:cs="Arial"/>
          <w:sz w:val="24"/>
          <w:szCs w:val="24"/>
        </w:rPr>
      </w:pPr>
      <w:r w:rsidRPr="00FB5318">
        <w:rPr>
          <w:rFonts w:ascii="Arial" w:hAnsi="Arial" w:cs="Arial"/>
          <w:sz w:val="24"/>
          <w:szCs w:val="24"/>
        </w:rPr>
        <w:t xml:space="preserve">Surgiram entretanto várias propostas </w:t>
      </w:r>
      <w:r w:rsidR="00755016" w:rsidRPr="00FB5318">
        <w:rPr>
          <w:rFonts w:ascii="Arial" w:hAnsi="Arial" w:cs="Arial"/>
          <w:sz w:val="24"/>
          <w:szCs w:val="24"/>
        </w:rPr>
        <w:t>para</w:t>
      </w:r>
      <w:r w:rsidRPr="00FB5318">
        <w:rPr>
          <w:rFonts w:ascii="Arial" w:hAnsi="Arial" w:cs="Arial"/>
          <w:sz w:val="24"/>
          <w:szCs w:val="24"/>
        </w:rPr>
        <w:t xml:space="preserve"> </w:t>
      </w:r>
      <w:r w:rsidR="00755016" w:rsidRPr="00FB5318">
        <w:rPr>
          <w:rFonts w:ascii="Arial" w:hAnsi="Arial" w:cs="Arial"/>
          <w:sz w:val="24"/>
          <w:szCs w:val="24"/>
        </w:rPr>
        <w:t>a simplificação do sistema e até</w:t>
      </w:r>
      <w:r w:rsidRPr="00FB5318">
        <w:rPr>
          <w:rFonts w:ascii="Arial" w:hAnsi="Arial" w:cs="Arial"/>
          <w:sz w:val="24"/>
          <w:szCs w:val="24"/>
        </w:rPr>
        <w:t xml:space="preserve"> para a dispensa total da obrigação de contabilidade, </w:t>
      </w:r>
      <w:r w:rsidR="00755016" w:rsidRPr="00FB5318">
        <w:rPr>
          <w:rFonts w:ascii="Arial" w:hAnsi="Arial" w:cs="Arial"/>
          <w:sz w:val="24"/>
          <w:szCs w:val="24"/>
        </w:rPr>
        <w:t xml:space="preserve">o </w:t>
      </w:r>
      <w:r w:rsidRPr="00FB5318">
        <w:rPr>
          <w:rFonts w:ascii="Arial" w:hAnsi="Arial" w:cs="Arial"/>
          <w:sz w:val="24"/>
          <w:szCs w:val="24"/>
        </w:rPr>
        <w:t xml:space="preserve">que leva à publicação da Lei n.º 35/2010, de 2 de Setembro, </w:t>
      </w:r>
      <w:r w:rsidR="00755016" w:rsidRPr="00FB5318">
        <w:rPr>
          <w:rFonts w:ascii="Arial" w:hAnsi="Arial" w:cs="Arial"/>
          <w:sz w:val="24"/>
          <w:szCs w:val="24"/>
        </w:rPr>
        <w:t>que cria</w:t>
      </w:r>
      <w:r w:rsidRPr="00FB5318">
        <w:rPr>
          <w:rFonts w:ascii="Arial" w:hAnsi="Arial" w:cs="Arial"/>
          <w:sz w:val="24"/>
          <w:szCs w:val="24"/>
        </w:rPr>
        <w:t xml:space="preserve"> um regime especial simplificado das normas e informações contabilísticas aplicáveis às </w:t>
      </w:r>
      <w:proofErr w:type="spellStart"/>
      <w:r w:rsidRPr="00FB5318">
        <w:rPr>
          <w:rFonts w:ascii="Arial" w:hAnsi="Arial" w:cs="Arial"/>
          <w:sz w:val="24"/>
          <w:szCs w:val="24"/>
        </w:rPr>
        <w:t>microentidades</w:t>
      </w:r>
      <w:proofErr w:type="spellEnd"/>
      <w:r w:rsidRPr="00FB5318">
        <w:rPr>
          <w:rFonts w:ascii="Arial" w:hAnsi="Arial" w:cs="Arial"/>
          <w:sz w:val="24"/>
          <w:szCs w:val="24"/>
        </w:rPr>
        <w:t xml:space="preserve">, definindo ao mesmo tempo o conceito de </w:t>
      </w:r>
      <w:proofErr w:type="spellStart"/>
      <w:r w:rsidRPr="00FB5318">
        <w:rPr>
          <w:rFonts w:ascii="Arial" w:hAnsi="Arial" w:cs="Arial"/>
          <w:sz w:val="24"/>
          <w:szCs w:val="24"/>
        </w:rPr>
        <w:t>microentidade</w:t>
      </w:r>
      <w:proofErr w:type="spellEnd"/>
      <w:r w:rsidRPr="00FB5318">
        <w:rPr>
          <w:rFonts w:ascii="Arial" w:hAnsi="Arial" w:cs="Arial"/>
          <w:sz w:val="24"/>
          <w:szCs w:val="24"/>
        </w:rPr>
        <w:t>, com os limites de aplicação e uma norma de salvaguarda relativamente à questão da opção pelas NCRF previstas no Decreto-Lei n.º 158/2009, de 13 de Julho.</w:t>
      </w:r>
    </w:p>
    <w:p w:rsidR="00971D0F" w:rsidRPr="00FB5318" w:rsidRDefault="003276CB" w:rsidP="00FB5318">
      <w:pPr>
        <w:autoSpaceDE w:val="0"/>
        <w:autoSpaceDN w:val="0"/>
        <w:adjustRightInd w:val="0"/>
        <w:spacing w:before="40" w:after="0" w:line="360" w:lineRule="auto"/>
        <w:ind w:firstLine="500"/>
        <w:jc w:val="both"/>
        <w:rPr>
          <w:rFonts w:ascii="Arial" w:hAnsi="Arial" w:cs="Arial"/>
          <w:sz w:val="24"/>
          <w:szCs w:val="24"/>
        </w:rPr>
      </w:pPr>
      <w:r w:rsidRPr="00FB5318">
        <w:rPr>
          <w:rFonts w:ascii="Arial" w:hAnsi="Arial" w:cs="Arial"/>
          <w:sz w:val="24"/>
          <w:szCs w:val="24"/>
        </w:rPr>
        <w:t>Posteriormente</w:t>
      </w:r>
      <w:r w:rsidR="008427C9" w:rsidRPr="00FB5318">
        <w:rPr>
          <w:rFonts w:ascii="Arial" w:hAnsi="Arial" w:cs="Arial"/>
          <w:sz w:val="24"/>
          <w:szCs w:val="24"/>
        </w:rPr>
        <w:t xml:space="preserve"> é publicado</w:t>
      </w:r>
      <w:r w:rsidRPr="00FB5318">
        <w:rPr>
          <w:rFonts w:ascii="Arial" w:hAnsi="Arial" w:cs="Arial"/>
          <w:sz w:val="24"/>
          <w:szCs w:val="24"/>
        </w:rPr>
        <w:t xml:space="preserve">, </w:t>
      </w:r>
      <w:r w:rsidR="008427C9" w:rsidRPr="00FB5318">
        <w:rPr>
          <w:rFonts w:ascii="Arial" w:hAnsi="Arial" w:cs="Arial"/>
          <w:sz w:val="24"/>
          <w:szCs w:val="24"/>
        </w:rPr>
        <w:t xml:space="preserve">a 9 de Março de 2011 o Decreto-Lei n.º 36-A/2011, que aprova o regime da normalização contabilística para as </w:t>
      </w:r>
      <w:proofErr w:type="spellStart"/>
      <w:r w:rsidR="008427C9" w:rsidRPr="00FB5318">
        <w:rPr>
          <w:rFonts w:ascii="Arial" w:hAnsi="Arial" w:cs="Arial"/>
          <w:sz w:val="24"/>
          <w:szCs w:val="24"/>
        </w:rPr>
        <w:t>microentidades</w:t>
      </w:r>
      <w:proofErr w:type="spellEnd"/>
      <w:r w:rsidR="00755016" w:rsidRPr="00FB5318">
        <w:rPr>
          <w:rFonts w:ascii="Arial" w:hAnsi="Arial" w:cs="Arial"/>
          <w:sz w:val="24"/>
          <w:szCs w:val="24"/>
        </w:rPr>
        <w:t xml:space="preserve">. </w:t>
      </w:r>
    </w:p>
    <w:p w:rsidR="00971D0F" w:rsidRDefault="00971D0F" w:rsidP="00A41E43">
      <w:pPr>
        <w:autoSpaceDE w:val="0"/>
        <w:autoSpaceDN w:val="0"/>
        <w:adjustRightInd w:val="0"/>
        <w:spacing w:before="40" w:after="0" w:line="201" w:lineRule="atLeast"/>
        <w:ind w:firstLine="500"/>
        <w:jc w:val="both"/>
        <w:rPr>
          <w:rFonts w:ascii="Optima" w:hAnsi="Optima"/>
          <w:sz w:val="20"/>
          <w:szCs w:val="20"/>
        </w:rPr>
      </w:pPr>
      <w:r>
        <w:rPr>
          <w:rFonts w:ascii="Optima" w:hAnsi="Optima"/>
          <w:noProof/>
          <w:sz w:val="20"/>
          <w:szCs w:val="20"/>
          <w:lang w:eastAsia="pt-PT"/>
        </w:rPr>
        <w:drawing>
          <wp:inline distT="0" distB="0" distL="0" distR="0">
            <wp:extent cx="5502499" cy="1177365"/>
            <wp:effectExtent l="38100" t="0" r="22001" b="0"/>
            <wp:docPr id="3" name="Diagrama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A41E43" w:rsidRPr="00634ED5" w:rsidRDefault="00A41E43" w:rsidP="00A41E43">
      <w:pPr>
        <w:autoSpaceDE w:val="0"/>
        <w:autoSpaceDN w:val="0"/>
        <w:adjustRightInd w:val="0"/>
        <w:spacing w:before="40" w:after="0" w:line="201" w:lineRule="atLeast"/>
        <w:ind w:firstLine="500"/>
        <w:jc w:val="center"/>
        <w:rPr>
          <w:rFonts w:ascii="Arial" w:hAnsi="Arial" w:cs="Arial"/>
          <w:bCs/>
          <w:sz w:val="24"/>
          <w:szCs w:val="24"/>
        </w:rPr>
      </w:pPr>
      <w:r w:rsidRPr="00634ED5">
        <w:rPr>
          <w:rFonts w:ascii="Arial" w:hAnsi="Arial" w:cs="Arial"/>
          <w:bCs/>
          <w:sz w:val="24"/>
          <w:szCs w:val="24"/>
        </w:rPr>
        <w:t xml:space="preserve">Cronologia das alterações legislativas para as </w:t>
      </w:r>
      <w:proofErr w:type="spellStart"/>
      <w:r w:rsidRPr="00634ED5">
        <w:rPr>
          <w:rFonts w:ascii="Arial" w:hAnsi="Arial" w:cs="Arial"/>
          <w:bCs/>
          <w:sz w:val="24"/>
          <w:szCs w:val="24"/>
        </w:rPr>
        <w:t>Microentidades</w:t>
      </w:r>
      <w:proofErr w:type="spellEnd"/>
    </w:p>
    <w:p w:rsidR="00634ED5" w:rsidRPr="00634ED5" w:rsidRDefault="00634ED5" w:rsidP="00A41E43">
      <w:pPr>
        <w:autoSpaceDE w:val="0"/>
        <w:autoSpaceDN w:val="0"/>
        <w:adjustRightInd w:val="0"/>
        <w:spacing w:before="40" w:after="0" w:line="201" w:lineRule="atLeast"/>
        <w:ind w:firstLine="500"/>
        <w:jc w:val="center"/>
        <w:rPr>
          <w:rFonts w:ascii="Arial" w:hAnsi="Arial" w:cs="Arial"/>
          <w:sz w:val="24"/>
          <w:szCs w:val="24"/>
        </w:rPr>
      </w:pPr>
      <w:r w:rsidRPr="00634ED5">
        <w:rPr>
          <w:rFonts w:ascii="Arial" w:hAnsi="Arial" w:cs="Arial"/>
          <w:bCs/>
          <w:sz w:val="24"/>
          <w:szCs w:val="24"/>
        </w:rPr>
        <w:t>Fonte: Elaboração própria</w:t>
      </w:r>
    </w:p>
    <w:p w:rsidR="00A41E43" w:rsidRPr="00634ED5" w:rsidRDefault="00A41E43" w:rsidP="008427C9">
      <w:pPr>
        <w:autoSpaceDE w:val="0"/>
        <w:autoSpaceDN w:val="0"/>
        <w:adjustRightInd w:val="0"/>
        <w:spacing w:before="40" w:after="0" w:line="201" w:lineRule="atLeast"/>
        <w:ind w:firstLine="500"/>
        <w:jc w:val="both"/>
        <w:rPr>
          <w:rFonts w:ascii="Optima" w:hAnsi="Optima"/>
          <w:sz w:val="20"/>
          <w:szCs w:val="20"/>
        </w:rPr>
      </w:pPr>
    </w:p>
    <w:p w:rsidR="00634ED5" w:rsidRDefault="00634ED5" w:rsidP="00CE655D">
      <w:pPr>
        <w:autoSpaceDE w:val="0"/>
        <w:autoSpaceDN w:val="0"/>
        <w:adjustRightInd w:val="0"/>
        <w:spacing w:before="40" w:after="0" w:line="360" w:lineRule="auto"/>
        <w:ind w:firstLine="500"/>
        <w:jc w:val="both"/>
        <w:rPr>
          <w:rFonts w:ascii="Arial" w:hAnsi="Arial" w:cs="Arial"/>
          <w:sz w:val="24"/>
          <w:szCs w:val="24"/>
        </w:rPr>
      </w:pPr>
    </w:p>
    <w:p w:rsidR="008427C9" w:rsidRPr="00CE655D" w:rsidRDefault="00CE655D" w:rsidP="00CE655D">
      <w:pPr>
        <w:autoSpaceDE w:val="0"/>
        <w:autoSpaceDN w:val="0"/>
        <w:adjustRightInd w:val="0"/>
        <w:spacing w:before="40" w:after="0" w:line="360" w:lineRule="auto"/>
        <w:ind w:firstLine="500"/>
        <w:jc w:val="both"/>
        <w:rPr>
          <w:rFonts w:ascii="Arial" w:hAnsi="Arial" w:cs="Arial"/>
          <w:sz w:val="24"/>
          <w:szCs w:val="24"/>
        </w:rPr>
      </w:pPr>
      <w:r w:rsidRPr="00CE655D">
        <w:rPr>
          <w:rFonts w:ascii="Arial" w:hAnsi="Arial" w:cs="Arial"/>
          <w:sz w:val="24"/>
          <w:szCs w:val="24"/>
        </w:rPr>
        <w:t>Importa salientar</w:t>
      </w:r>
      <w:r w:rsidR="008427C9" w:rsidRPr="00CE655D">
        <w:rPr>
          <w:rFonts w:ascii="Arial" w:hAnsi="Arial" w:cs="Arial"/>
          <w:sz w:val="24"/>
          <w:szCs w:val="24"/>
        </w:rPr>
        <w:t xml:space="preserve"> os seguintes aspectos</w:t>
      </w:r>
      <w:r w:rsidR="00516CCA">
        <w:rPr>
          <w:rFonts w:ascii="Arial" w:hAnsi="Arial" w:cs="Arial"/>
          <w:sz w:val="24"/>
          <w:szCs w:val="24"/>
        </w:rPr>
        <w:t xml:space="preserve"> introduzidos pela</w:t>
      </w:r>
      <w:r w:rsidR="00634ED5">
        <w:rPr>
          <w:rFonts w:ascii="Arial" w:hAnsi="Arial" w:cs="Arial"/>
          <w:sz w:val="24"/>
          <w:szCs w:val="24"/>
        </w:rPr>
        <w:t xml:space="preserve"> legislação</w:t>
      </w:r>
      <w:r w:rsidR="008427C9" w:rsidRPr="00CE655D">
        <w:rPr>
          <w:rFonts w:ascii="Arial" w:hAnsi="Arial" w:cs="Arial"/>
          <w:sz w:val="24"/>
          <w:szCs w:val="24"/>
        </w:rPr>
        <w:t xml:space="preserve">: </w:t>
      </w:r>
    </w:p>
    <w:p w:rsidR="008427C9" w:rsidRPr="00CE655D" w:rsidRDefault="008427C9" w:rsidP="00CE655D">
      <w:pPr>
        <w:autoSpaceDE w:val="0"/>
        <w:autoSpaceDN w:val="0"/>
        <w:adjustRightInd w:val="0"/>
        <w:spacing w:before="40" w:after="0" w:line="360" w:lineRule="auto"/>
        <w:ind w:firstLine="500"/>
        <w:jc w:val="both"/>
        <w:rPr>
          <w:rFonts w:ascii="Arial" w:hAnsi="Arial" w:cs="Arial"/>
          <w:b/>
          <w:sz w:val="24"/>
          <w:szCs w:val="24"/>
        </w:rPr>
      </w:pPr>
      <w:r w:rsidRPr="00CE655D">
        <w:rPr>
          <w:rFonts w:ascii="Arial" w:hAnsi="Arial" w:cs="Arial"/>
          <w:sz w:val="24"/>
          <w:szCs w:val="24"/>
        </w:rPr>
        <w:t xml:space="preserve">a) </w:t>
      </w:r>
      <w:r w:rsidRPr="00CE655D">
        <w:rPr>
          <w:rFonts w:ascii="Arial" w:hAnsi="Arial" w:cs="Arial"/>
          <w:b/>
          <w:bCs/>
          <w:i/>
          <w:iCs/>
          <w:sz w:val="24"/>
          <w:szCs w:val="24"/>
        </w:rPr>
        <w:t xml:space="preserve">Conceito </w:t>
      </w:r>
      <w:r w:rsidRPr="00CE655D">
        <w:rPr>
          <w:rFonts w:ascii="Arial" w:hAnsi="Arial" w:cs="Arial"/>
          <w:sz w:val="24"/>
          <w:szCs w:val="24"/>
        </w:rPr>
        <w:t xml:space="preserve">– o Decreto-Lei n.º 36-A/2011, de 9 de Março é idêntico aos requisitos estabelecidos na Lei n.º 35/2010, de 2 de Setembro, determinando que a NCM se aplica às empresas que, </w:t>
      </w:r>
      <w:r w:rsidRPr="00CE655D">
        <w:rPr>
          <w:rFonts w:ascii="Arial" w:hAnsi="Arial" w:cs="Arial"/>
          <w:b/>
          <w:sz w:val="24"/>
          <w:szCs w:val="24"/>
        </w:rPr>
        <w:t>à data do balanço, não ultrapassem dois dos três limites seguintes:</w:t>
      </w:r>
    </w:p>
    <w:p w:rsidR="008427C9" w:rsidRPr="00CE655D" w:rsidRDefault="008427C9" w:rsidP="00CE655D">
      <w:pPr>
        <w:tabs>
          <w:tab w:val="left" w:pos="851"/>
        </w:tabs>
        <w:autoSpaceDE w:val="0"/>
        <w:autoSpaceDN w:val="0"/>
        <w:adjustRightInd w:val="0"/>
        <w:spacing w:before="40" w:after="0" w:line="360" w:lineRule="auto"/>
        <w:ind w:left="709" w:firstLine="142"/>
        <w:jc w:val="both"/>
        <w:rPr>
          <w:rFonts w:ascii="Arial" w:hAnsi="Arial" w:cs="Arial"/>
          <w:b/>
          <w:sz w:val="24"/>
          <w:szCs w:val="24"/>
        </w:rPr>
      </w:pPr>
      <w:r w:rsidRPr="00CE655D">
        <w:rPr>
          <w:rFonts w:ascii="Arial" w:hAnsi="Arial" w:cs="Arial"/>
          <w:b/>
          <w:sz w:val="24"/>
          <w:szCs w:val="24"/>
        </w:rPr>
        <w:t xml:space="preserve">i) </w:t>
      </w:r>
      <w:proofErr w:type="gramStart"/>
      <w:r w:rsidRPr="00CE655D">
        <w:rPr>
          <w:rFonts w:ascii="Arial" w:hAnsi="Arial" w:cs="Arial"/>
          <w:b/>
          <w:sz w:val="24"/>
          <w:szCs w:val="24"/>
        </w:rPr>
        <w:t>um</w:t>
      </w:r>
      <w:proofErr w:type="gramEnd"/>
      <w:r w:rsidRPr="00CE655D">
        <w:rPr>
          <w:rFonts w:ascii="Arial" w:hAnsi="Arial" w:cs="Arial"/>
          <w:b/>
          <w:sz w:val="24"/>
          <w:szCs w:val="24"/>
        </w:rPr>
        <w:t xml:space="preserve"> total do balanço de € 500 000;</w:t>
      </w:r>
    </w:p>
    <w:p w:rsidR="008427C9" w:rsidRPr="00CE655D" w:rsidRDefault="008427C9" w:rsidP="00CE655D">
      <w:pPr>
        <w:tabs>
          <w:tab w:val="left" w:pos="851"/>
        </w:tabs>
        <w:autoSpaceDE w:val="0"/>
        <w:autoSpaceDN w:val="0"/>
        <w:adjustRightInd w:val="0"/>
        <w:spacing w:before="40" w:after="0" w:line="360" w:lineRule="auto"/>
        <w:ind w:left="709" w:firstLine="142"/>
        <w:jc w:val="both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CE655D">
        <w:rPr>
          <w:rFonts w:ascii="Arial" w:hAnsi="Arial" w:cs="Arial"/>
          <w:b/>
          <w:sz w:val="24"/>
          <w:szCs w:val="24"/>
        </w:rPr>
        <w:t>ii</w:t>
      </w:r>
      <w:proofErr w:type="spellEnd"/>
      <w:proofErr w:type="gramEnd"/>
      <w:r w:rsidRPr="00CE655D">
        <w:rPr>
          <w:rFonts w:ascii="Arial" w:hAnsi="Arial" w:cs="Arial"/>
          <w:b/>
          <w:sz w:val="24"/>
          <w:szCs w:val="24"/>
        </w:rPr>
        <w:t xml:space="preserve">) um volume de negócios líquido de € </w:t>
      </w:r>
      <w:r w:rsidR="00A72E67">
        <w:rPr>
          <w:rFonts w:ascii="Arial" w:hAnsi="Arial" w:cs="Arial"/>
          <w:b/>
          <w:sz w:val="24"/>
          <w:szCs w:val="24"/>
        </w:rPr>
        <w:t>500 000;</w:t>
      </w:r>
    </w:p>
    <w:p w:rsidR="008427C9" w:rsidRDefault="008427C9" w:rsidP="00CE655D">
      <w:pPr>
        <w:tabs>
          <w:tab w:val="left" w:pos="851"/>
        </w:tabs>
        <w:autoSpaceDE w:val="0"/>
        <w:autoSpaceDN w:val="0"/>
        <w:adjustRightInd w:val="0"/>
        <w:spacing w:before="40" w:after="0" w:line="360" w:lineRule="auto"/>
        <w:ind w:left="709" w:firstLine="142"/>
        <w:jc w:val="both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CE655D">
        <w:rPr>
          <w:rFonts w:ascii="Arial" w:hAnsi="Arial" w:cs="Arial"/>
          <w:b/>
          <w:sz w:val="24"/>
          <w:szCs w:val="24"/>
        </w:rPr>
        <w:t>iii</w:t>
      </w:r>
      <w:proofErr w:type="spellEnd"/>
      <w:proofErr w:type="gramEnd"/>
      <w:r w:rsidRPr="00CE655D">
        <w:rPr>
          <w:rFonts w:ascii="Arial" w:hAnsi="Arial" w:cs="Arial"/>
          <w:b/>
          <w:sz w:val="24"/>
          <w:szCs w:val="24"/>
        </w:rPr>
        <w:t>) um número médio de empregados durante o exercício de cinco.</w:t>
      </w:r>
    </w:p>
    <w:p w:rsidR="00A72E67" w:rsidRPr="00A72E67" w:rsidRDefault="00A72E67" w:rsidP="00A72E67">
      <w:pPr>
        <w:tabs>
          <w:tab w:val="left" w:pos="851"/>
        </w:tabs>
        <w:autoSpaceDE w:val="0"/>
        <w:autoSpaceDN w:val="0"/>
        <w:adjustRightInd w:val="0"/>
        <w:spacing w:before="4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De salientar</w:t>
      </w:r>
      <w:r w:rsidR="00634ED5">
        <w:rPr>
          <w:rFonts w:ascii="Arial" w:hAnsi="Arial" w:cs="Arial"/>
          <w:sz w:val="24"/>
          <w:szCs w:val="24"/>
        </w:rPr>
        <w:t xml:space="preserve"> ainda</w:t>
      </w:r>
      <w:r>
        <w:rPr>
          <w:rFonts w:ascii="Arial" w:hAnsi="Arial" w:cs="Arial"/>
          <w:sz w:val="24"/>
          <w:szCs w:val="24"/>
        </w:rPr>
        <w:t xml:space="preserve"> que uma entidade que exceda dois destes </w:t>
      </w:r>
      <w:proofErr w:type="gramStart"/>
      <w:r>
        <w:rPr>
          <w:rFonts w:ascii="Arial" w:hAnsi="Arial" w:cs="Arial"/>
          <w:sz w:val="24"/>
          <w:szCs w:val="24"/>
        </w:rPr>
        <w:t>limites</w:t>
      </w:r>
      <w:proofErr w:type="gramEnd"/>
      <w:r>
        <w:rPr>
          <w:rFonts w:ascii="Arial" w:hAnsi="Arial" w:cs="Arial"/>
          <w:sz w:val="24"/>
          <w:szCs w:val="24"/>
        </w:rPr>
        <w:t xml:space="preserve"> não perde imediatamente o estatuto de </w:t>
      </w:r>
      <w:proofErr w:type="spellStart"/>
      <w:r>
        <w:rPr>
          <w:rFonts w:ascii="Arial" w:hAnsi="Arial" w:cs="Arial"/>
          <w:sz w:val="24"/>
          <w:szCs w:val="24"/>
        </w:rPr>
        <w:t>microentidades</w:t>
      </w:r>
      <w:proofErr w:type="spellEnd"/>
      <w:r>
        <w:rPr>
          <w:rFonts w:ascii="Arial" w:hAnsi="Arial" w:cs="Arial"/>
          <w:sz w:val="24"/>
          <w:szCs w:val="24"/>
        </w:rPr>
        <w:t xml:space="preserve">, sendo que tal só se verifica quando os limites sejam ultrapassados em dois anos consecutivos. </w:t>
      </w:r>
    </w:p>
    <w:p w:rsidR="003276CB" w:rsidRPr="00CE655D" w:rsidRDefault="003276CB" w:rsidP="00CE655D">
      <w:pPr>
        <w:pStyle w:val="Pa10"/>
        <w:spacing w:before="40" w:line="360" w:lineRule="auto"/>
        <w:ind w:left="840" w:hanging="340"/>
        <w:jc w:val="both"/>
        <w:rPr>
          <w:rFonts w:ascii="Arial" w:hAnsi="Arial" w:cs="Arial"/>
        </w:rPr>
      </w:pPr>
      <w:r w:rsidRPr="00CE655D">
        <w:rPr>
          <w:rFonts w:ascii="Arial" w:hAnsi="Arial" w:cs="Arial"/>
        </w:rPr>
        <w:t xml:space="preserve">b) </w:t>
      </w:r>
      <w:r w:rsidRPr="00CE655D">
        <w:rPr>
          <w:rFonts w:ascii="Arial" w:hAnsi="Arial" w:cs="Arial"/>
          <w:b/>
          <w:bCs/>
          <w:i/>
          <w:iCs/>
        </w:rPr>
        <w:t xml:space="preserve">Simplificação </w:t>
      </w:r>
      <w:r w:rsidRPr="00CE655D">
        <w:rPr>
          <w:rFonts w:ascii="Arial" w:hAnsi="Arial" w:cs="Arial"/>
        </w:rPr>
        <w:t xml:space="preserve">– dispensa a obrigação de apresentação quer da demonstração de fluxos de caixa, quer da demonstração de alterações no capital próprio. O anexo exigido pelo SNC é substituído pelo anexo para </w:t>
      </w:r>
      <w:proofErr w:type="spellStart"/>
      <w:r w:rsidRPr="00CE655D">
        <w:rPr>
          <w:rFonts w:ascii="Arial" w:hAnsi="Arial" w:cs="Arial"/>
        </w:rPr>
        <w:t>microentidades</w:t>
      </w:r>
      <w:proofErr w:type="spellEnd"/>
      <w:r w:rsidRPr="00CE655D">
        <w:rPr>
          <w:rFonts w:ascii="Arial" w:hAnsi="Arial" w:cs="Arial"/>
        </w:rPr>
        <w:t xml:space="preserve">, </w:t>
      </w:r>
    </w:p>
    <w:p w:rsidR="003276CB" w:rsidRPr="00CE655D" w:rsidRDefault="003276CB" w:rsidP="00CE655D">
      <w:pPr>
        <w:pStyle w:val="Pa10"/>
        <w:spacing w:before="40" w:line="360" w:lineRule="auto"/>
        <w:ind w:left="840" w:hanging="340"/>
        <w:jc w:val="both"/>
        <w:rPr>
          <w:rFonts w:ascii="Arial" w:hAnsi="Arial" w:cs="Arial"/>
        </w:rPr>
      </w:pPr>
      <w:r w:rsidRPr="00CE655D">
        <w:rPr>
          <w:rFonts w:ascii="Arial" w:hAnsi="Arial" w:cs="Arial"/>
        </w:rPr>
        <w:t xml:space="preserve">c) </w:t>
      </w:r>
      <w:r w:rsidRPr="00CE655D">
        <w:rPr>
          <w:rFonts w:ascii="Arial" w:hAnsi="Arial" w:cs="Arial"/>
          <w:b/>
          <w:bCs/>
          <w:i/>
          <w:iCs/>
        </w:rPr>
        <w:t xml:space="preserve">Ambiente </w:t>
      </w:r>
      <w:r w:rsidRPr="00CE655D">
        <w:rPr>
          <w:rFonts w:ascii="Arial" w:hAnsi="Arial" w:cs="Arial"/>
        </w:rPr>
        <w:t>– os conceitos, definições e procedimentos contabilísticos utilizados são de aceitação generalizada em Portugal, tal como enun</w:t>
      </w:r>
      <w:r w:rsidR="00516CCA">
        <w:rPr>
          <w:rFonts w:ascii="Arial" w:hAnsi="Arial" w:cs="Arial"/>
        </w:rPr>
        <w:t>ciados no SNC. Esta</w:t>
      </w:r>
      <w:r w:rsidR="00B94389" w:rsidRPr="00CE655D">
        <w:rPr>
          <w:rFonts w:ascii="Arial" w:hAnsi="Arial" w:cs="Arial"/>
        </w:rPr>
        <w:t xml:space="preserve"> metodologia</w:t>
      </w:r>
      <w:r w:rsidRPr="00CE655D">
        <w:rPr>
          <w:rFonts w:ascii="Arial" w:hAnsi="Arial" w:cs="Arial"/>
        </w:rPr>
        <w:t xml:space="preserve"> permite uma fácil comunicabilida</w:t>
      </w:r>
      <w:r w:rsidRPr="00CE655D">
        <w:rPr>
          <w:rFonts w:ascii="Arial" w:hAnsi="Arial" w:cs="Arial"/>
        </w:rPr>
        <w:softHyphen/>
        <w:t xml:space="preserve">de vertical sempre que alterações na dimensão das entidades visadas impliquem diferentes exigências de relato financeiro ou as entidades exerçam a opção pela aplicação das normas contabilísticas previstas no Decreto-Lei n.º 158/2009, de 13 de Julho, tal como dispõe o artigo 5.º da Lei n.º 35/2010, de 2 de Setembro. </w:t>
      </w:r>
    </w:p>
    <w:p w:rsidR="00C12B31" w:rsidRDefault="00C12B31" w:rsidP="008C4A13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</w:rPr>
      </w:pPr>
    </w:p>
    <w:p w:rsidR="008C4A13" w:rsidRPr="008C4A13" w:rsidRDefault="008C4A13" w:rsidP="008C4A13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</w:rPr>
      </w:pPr>
      <w:r w:rsidRPr="008C4A13">
        <w:rPr>
          <w:rFonts w:ascii="Arial" w:hAnsi="Arial" w:cs="Arial"/>
        </w:rPr>
        <w:t xml:space="preserve">No que respeita à simplificação trazida pelo novo regime, destaca-se o facto de as entidades abrangidas pela normalização contabilística para </w:t>
      </w:r>
      <w:proofErr w:type="spellStart"/>
      <w:r w:rsidRPr="008C4A13">
        <w:rPr>
          <w:rFonts w:ascii="Arial" w:hAnsi="Arial" w:cs="Arial"/>
        </w:rPr>
        <w:t>microentidades</w:t>
      </w:r>
      <w:proofErr w:type="spellEnd"/>
      <w:r w:rsidRPr="008C4A13">
        <w:rPr>
          <w:rFonts w:ascii="Arial" w:hAnsi="Arial" w:cs="Arial"/>
        </w:rPr>
        <w:t xml:space="preserve"> serem dispensadas da obrigação de apresentar quer as demonstrações de fluxos de caixa, quer as demonstrações de alterações no capital próprio. </w:t>
      </w:r>
      <w:r w:rsidR="00C12B31">
        <w:rPr>
          <w:rFonts w:ascii="Arial" w:hAnsi="Arial" w:cs="Arial"/>
        </w:rPr>
        <w:t xml:space="preserve">Além disso, </w:t>
      </w:r>
      <w:r w:rsidRPr="008C4A13">
        <w:rPr>
          <w:rFonts w:ascii="Arial" w:hAnsi="Arial" w:cs="Arial"/>
        </w:rPr>
        <w:t xml:space="preserve">o anexo exigido pelo SNC é substituído pelo anexo para </w:t>
      </w:r>
      <w:proofErr w:type="spellStart"/>
      <w:r w:rsidRPr="008C4A13">
        <w:rPr>
          <w:rFonts w:ascii="Arial" w:hAnsi="Arial" w:cs="Arial"/>
        </w:rPr>
        <w:t>microentidades</w:t>
      </w:r>
      <w:proofErr w:type="spellEnd"/>
      <w:r w:rsidRPr="008C4A13">
        <w:rPr>
          <w:rFonts w:ascii="Arial" w:hAnsi="Arial" w:cs="Arial"/>
        </w:rPr>
        <w:t xml:space="preserve">, cujas divulgações são estabelecidas </w:t>
      </w:r>
      <w:r w:rsidR="00C12B31">
        <w:rPr>
          <w:rFonts w:ascii="Arial" w:hAnsi="Arial" w:cs="Arial"/>
        </w:rPr>
        <w:t>com</w:t>
      </w:r>
      <w:r w:rsidRPr="008C4A13">
        <w:rPr>
          <w:rFonts w:ascii="Arial" w:hAnsi="Arial" w:cs="Arial"/>
        </w:rPr>
        <w:t xml:space="preserve"> m</w:t>
      </w:r>
      <w:r w:rsidR="00516CCA">
        <w:rPr>
          <w:rFonts w:ascii="Arial" w:hAnsi="Arial" w:cs="Arial"/>
        </w:rPr>
        <w:t>enos exigência</w:t>
      </w:r>
      <w:r w:rsidRPr="008C4A13">
        <w:rPr>
          <w:rFonts w:ascii="Arial" w:hAnsi="Arial" w:cs="Arial"/>
        </w:rPr>
        <w:t xml:space="preserve"> por comparação com as divulgações exigidas, no âmbito do SNC, para as pequenas entidades.</w:t>
      </w:r>
    </w:p>
    <w:p w:rsidR="008C4A13" w:rsidRPr="00E9639B" w:rsidRDefault="00C12B31" w:rsidP="00FA549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Finalmente, salienta</w:t>
      </w:r>
      <w:r w:rsidR="008C4A13" w:rsidRPr="008C4A13">
        <w:rPr>
          <w:rFonts w:ascii="Arial" w:hAnsi="Arial" w:cs="Arial"/>
        </w:rPr>
        <w:t xml:space="preserve">-se que o novo regime contabilístico aplicável às </w:t>
      </w:r>
      <w:proofErr w:type="spellStart"/>
      <w:r w:rsidR="008C4A13" w:rsidRPr="008C4A13">
        <w:rPr>
          <w:rFonts w:ascii="Arial" w:hAnsi="Arial" w:cs="Arial"/>
        </w:rPr>
        <w:t>microentidades</w:t>
      </w:r>
      <w:proofErr w:type="spellEnd"/>
      <w:r w:rsidR="008C4A13" w:rsidRPr="008C4A13">
        <w:rPr>
          <w:rFonts w:ascii="Arial" w:hAnsi="Arial" w:cs="Arial"/>
        </w:rPr>
        <w:t xml:space="preserve"> recorre a conceitos, definições e procedimentos contabilísticos de aceitação generalizada em Portugal, tal como enunciados no SNC</w:t>
      </w:r>
      <w:r w:rsidR="00516CCA">
        <w:rPr>
          <w:rFonts w:ascii="Arial" w:hAnsi="Arial" w:cs="Arial"/>
        </w:rPr>
        <w:t>, o que</w:t>
      </w:r>
      <w:r w:rsidR="008C4A13" w:rsidRPr="008C4A13">
        <w:rPr>
          <w:rFonts w:ascii="Arial" w:hAnsi="Arial" w:cs="Arial"/>
        </w:rPr>
        <w:t xml:space="preserve"> permite um fácil</w:t>
      </w:r>
      <w:r w:rsidR="00516CCA">
        <w:rPr>
          <w:rFonts w:ascii="Arial" w:hAnsi="Arial" w:cs="Arial"/>
        </w:rPr>
        <w:t xml:space="preserve"> entendimento</w:t>
      </w:r>
      <w:r w:rsidR="008C4A13" w:rsidRPr="008C4A13">
        <w:rPr>
          <w:rFonts w:ascii="Arial" w:hAnsi="Arial" w:cs="Arial"/>
        </w:rPr>
        <w:t xml:space="preserve"> sempre que alterações na dimensão das entidades visadas impliquem diferentes exigências de relato financeiro ou as entidades exerçam</w:t>
      </w:r>
      <w:r w:rsidR="00516CCA">
        <w:rPr>
          <w:rFonts w:ascii="Arial" w:hAnsi="Arial" w:cs="Arial"/>
        </w:rPr>
        <w:t>, tal como a lei assim o prevê no artigo 5.º da Lei n.º 35/2009, de 2 de Setembro,</w:t>
      </w:r>
      <w:r w:rsidR="008C4A13" w:rsidRPr="008C4A13">
        <w:rPr>
          <w:rFonts w:ascii="Arial" w:hAnsi="Arial" w:cs="Arial"/>
        </w:rPr>
        <w:t xml:space="preserve"> a opção pela aplicação das normas contabilísticas gerais, contidas no Decreto-</w:t>
      </w:r>
      <w:r w:rsidR="008C4A13" w:rsidRPr="00E9639B">
        <w:rPr>
          <w:rFonts w:ascii="Arial" w:hAnsi="Arial" w:cs="Arial"/>
        </w:rPr>
        <w:t>Lei n.</w:t>
      </w:r>
      <w:r w:rsidR="00516CCA">
        <w:rPr>
          <w:rFonts w:ascii="Arial" w:hAnsi="Arial" w:cs="Arial"/>
        </w:rPr>
        <w:t>º 158/2009, de 13 de Julho</w:t>
      </w:r>
      <w:r w:rsidR="008C4A13" w:rsidRPr="00E9639B">
        <w:rPr>
          <w:rFonts w:ascii="Arial" w:hAnsi="Arial" w:cs="Arial"/>
        </w:rPr>
        <w:t>.</w:t>
      </w:r>
    </w:p>
    <w:p w:rsidR="00516CCA" w:rsidRDefault="00516CCA" w:rsidP="00FA5492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</w:p>
    <w:p w:rsidR="00FA5492" w:rsidRDefault="00E9639B" w:rsidP="00FA5492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E9639B">
        <w:rPr>
          <w:rFonts w:ascii="Arial" w:hAnsi="Arial" w:cs="Arial"/>
          <w:sz w:val="24"/>
          <w:szCs w:val="24"/>
        </w:rPr>
        <w:t xml:space="preserve">As entidades que adoptem a NCM </w:t>
      </w:r>
      <w:r>
        <w:rPr>
          <w:rFonts w:ascii="Arial" w:hAnsi="Arial" w:cs="Arial"/>
          <w:sz w:val="24"/>
          <w:szCs w:val="24"/>
        </w:rPr>
        <w:t xml:space="preserve">estão obrigadas à </w:t>
      </w:r>
      <w:r w:rsidRPr="00E9639B">
        <w:rPr>
          <w:rFonts w:ascii="Arial" w:hAnsi="Arial" w:cs="Arial"/>
          <w:sz w:val="24"/>
          <w:szCs w:val="24"/>
        </w:rPr>
        <w:t>apresenta</w:t>
      </w:r>
      <w:r>
        <w:rPr>
          <w:rFonts w:ascii="Arial" w:hAnsi="Arial" w:cs="Arial"/>
          <w:sz w:val="24"/>
          <w:szCs w:val="24"/>
        </w:rPr>
        <w:t>ção d</w:t>
      </w:r>
      <w:r w:rsidRPr="00E9639B">
        <w:rPr>
          <w:rFonts w:ascii="Arial" w:hAnsi="Arial" w:cs="Arial"/>
          <w:sz w:val="24"/>
          <w:szCs w:val="24"/>
        </w:rPr>
        <w:t>as seguintes demonstrações</w:t>
      </w:r>
      <w:r>
        <w:rPr>
          <w:rFonts w:ascii="Arial" w:hAnsi="Arial" w:cs="Arial"/>
          <w:sz w:val="24"/>
          <w:szCs w:val="24"/>
        </w:rPr>
        <w:t xml:space="preserve"> </w:t>
      </w:r>
      <w:r w:rsidRPr="00E9639B">
        <w:rPr>
          <w:rFonts w:ascii="Arial" w:hAnsi="Arial" w:cs="Arial"/>
          <w:sz w:val="24"/>
          <w:szCs w:val="24"/>
        </w:rPr>
        <w:t>financeiras:</w:t>
      </w:r>
    </w:p>
    <w:p w:rsidR="00C12B31" w:rsidRPr="00E9639B" w:rsidRDefault="00E9639B" w:rsidP="00FA5492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  <w:r w:rsidRPr="00E9639B">
        <w:rPr>
          <w:rFonts w:ascii="Arial" w:hAnsi="Arial" w:cs="Arial"/>
          <w:sz w:val="24"/>
          <w:szCs w:val="24"/>
        </w:rPr>
        <w:t>a)Balanço;</w:t>
      </w:r>
      <w:r w:rsidRPr="00E9639B">
        <w:rPr>
          <w:rFonts w:ascii="Arial" w:hAnsi="Arial" w:cs="Arial"/>
          <w:sz w:val="24"/>
          <w:szCs w:val="24"/>
        </w:rPr>
        <w:br/>
        <w:t>b)Demonstração</w:t>
      </w:r>
      <w:r w:rsidR="00FA5492">
        <w:rPr>
          <w:rFonts w:ascii="Arial" w:hAnsi="Arial" w:cs="Arial"/>
          <w:sz w:val="24"/>
          <w:szCs w:val="24"/>
        </w:rPr>
        <w:t xml:space="preserve"> </w:t>
      </w:r>
      <w:r w:rsidRPr="00E9639B">
        <w:rPr>
          <w:rFonts w:ascii="Arial" w:hAnsi="Arial" w:cs="Arial"/>
          <w:sz w:val="24"/>
          <w:szCs w:val="24"/>
        </w:rPr>
        <w:t>d</w:t>
      </w:r>
      <w:r w:rsidR="00FA5492">
        <w:rPr>
          <w:rFonts w:ascii="Arial" w:hAnsi="Arial" w:cs="Arial"/>
          <w:sz w:val="24"/>
          <w:szCs w:val="24"/>
        </w:rPr>
        <w:t>os resultados por naturezas;</w:t>
      </w:r>
      <w:r w:rsidR="00FA5492">
        <w:rPr>
          <w:rFonts w:ascii="Arial" w:hAnsi="Arial" w:cs="Arial"/>
          <w:sz w:val="24"/>
          <w:szCs w:val="24"/>
        </w:rPr>
        <w:br/>
        <w:t>c)</w:t>
      </w:r>
      <w:r w:rsidRPr="00E9639B">
        <w:rPr>
          <w:rFonts w:ascii="Arial" w:hAnsi="Arial" w:cs="Arial"/>
          <w:sz w:val="24"/>
          <w:szCs w:val="24"/>
        </w:rPr>
        <w:t xml:space="preserve">Anexo para </w:t>
      </w:r>
      <w:proofErr w:type="spellStart"/>
      <w:r w:rsidRPr="00E9639B">
        <w:rPr>
          <w:rFonts w:ascii="Arial" w:hAnsi="Arial" w:cs="Arial"/>
          <w:sz w:val="24"/>
          <w:szCs w:val="24"/>
        </w:rPr>
        <w:t>microentidades</w:t>
      </w:r>
      <w:proofErr w:type="spellEnd"/>
      <w:r w:rsidRPr="00E9639B">
        <w:rPr>
          <w:rFonts w:ascii="Arial" w:hAnsi="Arial" w:cs="Arial"/>
          <w:sz w:val="24"/>
          <w:szCs w:val="24"/>
        </w:rPr>
        <w:t>.</w:t>
      </w:r>
      <w:r w:rsidR="00C12B31" w:rsidRPr="00E9639B">
        <w:rPr>
          <w:rFonts w:ascii="Arial" w:hAnsi="Arial" w:cs="Arial"/>
          <w:sz w:val="24"/>
          <w:szCs w:val="24"/>
        </w:rPr>
        <w:br w:type="page"/>
      </w:r>
    </w:p>
    <w:p w:rsidR="00D52FF6" w:rsidRPr="00986EFC" w:rsidRDefault="00FB5318" w:rsidP="00986EFC">
      <w:pPr>
        <w:pStyle w:val="Ttulo1"/>
        <w:numPr>
          <w:ilvl w:val="0"/>
          <w:numId w:val="14"/>
        </w:numPr>
        <w:ind w:left="1066" w:hanging="357"/>
        <w:jc w:val="both"/>
      </w:pPr>
      <w:bookmarkStart w:id="4" w:name="_Toc308126199"/>
      <w:r w:rsidRPr="00986EFC">
        <w:lastRenderedPageBreak/>
        <w:t xml:space="preserve">SNC PE e </w:t>
      </w:r>
      <w:r w:rsidR="00CF08C1" w:rsidRPr="00986EFC">
        <w:t>NCM – PRINCIPAIS DIFERENÇAS</w:t>
      </w:r>
      <w:bookmarkEnd w:id="4"/>
    </w:p>
    <w:p w:rsidR="00EB065B" w:rsidRDefault="00EB065B" w:rsidP="00FA5492">
      <w:pPr>
        <w:tabs>
          <w:tab w:val="left" w:pos="0"/>
        </w:tabs>
        <w:spacing w:before="120" w:after="120" w:line="360" w:lineRule="auto"/>
        <w:ind w:firstLine="709"/>
        <w:jc w:val="both"/>
        <w:rPr>
          <w:rFonts w:ascii="Calibri" w:hAnsi="Calibri" w:cs="Calibri"/>
        </w:rPr>
      </w:pPr>
    </w:p>
    <w:p w:rsidR="00CF08C1" w:rsidRPr="00986EFC" w:rsidRDefault="00EB065B" w:rsidP="00986EF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86EFC">
        <w:rPr>
          <w:rFonts w:ascii="Arial" w:hAnsi="Arial" w:cs="Arial"/>
          <w:sz w:val="24"/>
          <w:szCs w:val="24"/>
        </w:rPr>
        <w:t>No quadro que se segue estão contidos os capítulos que a NCM e a NCRF-PE têm:</w:t>
      </w:r>
    </w:p>
    <w:tbl>
      <w:tblPr>
        <w:tblStyle w:val="SombreadoClaro-Cor2"/>
        <w:tblW w:w="0" w:type="auto"/>
        <w:tblLook w:val="04A0"/>
      </w:tblPr>
      <w:tblGrid>
        <w:gridCol w:w="1443"/>
        <w:gridCol w:w="5044"/>
        <w:gridCol w:w="1701"/>
        <w:gridCol w:w="1590"/>
      </w:tblGrid>
      <w:tr w:rsidR="00EB065B" w:rsidTr="009A15E9">
        <w:trPr>
          <w:cnfStyle w:val="1000000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9A15E9">
              <w:rPr>
                <w:rFonts w:ascii="Arial" w:hAnsi="Arial" w:cs="Arial"/>
              </w:rPr>
              <w:t>CAPÍTULO</w:t>
            </w:r>
          </w:p>
        </w:tc>
        <w:tc>
          <w:tcPr>
            <w:tcW w:w="5044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100000000000"/>
              <w:rPr>
                <w:rFonts w:ascii="Arial" w:hAnsi="Arial" w:cs="Arial"/>
              </w:rPr>
            </w:pPr>
            <w:r w:rsidRPr="009A15E9">
              <w:rPr>
                <w:rFonts w:ascii="Arial" w:hAnsi="Arial" w:cs="Arial"/>
              </w:rPr>
              <w:t>DESCRIÇÃO</w:t>
            </w:r>
          </w:p>
        </w:tc>
        <w:tc>
          <w:tcPr>
            <w:tcW w:w="3291" w:type="dxa"/>
            <w:gridSpan w:val="2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100000000000"/>
              <w:rPr>
                <w:rFonts w:ascii="Arial" w:hAnsi="Arial" w:cs="Arial"/>
              </w:rPr>
            </w:pPr>
            <w:r w:rsidRPr="009A15E9">
              <w:rPr>
                <w:rFonts w:ascii="Arial" w:hAnsi="Arial" w:cs="Arial"/>
              </w:rPr>
              <w:t>PARAGRAFOS</w:t>
            </w:r>
          </w:p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100000000000"/>
              <w:rPr>
                <w:rFonts w:ascii="Arial" w:hAnsi="Arial" w:cs="Arial"/>
              </w:rPr>
            </w:pPr>
            <w:proofErr w:type="gramStart"/>
            <w:r w:rsidRPr="009A15E9">
              <w:rPr>
                <w:rFonts w:ascii="Arial" w:hAnsi="Arial" w:cs="Arial"/>
              </w:rPr>
              <w:t>NCRF-PE                NCM</w:t>
            </w:r>
            <w:proofErr w:type="gramEnd"/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</w:t>
            </w:r>
          </w:p>
        </w:tc>
        <w:tc>
          <w:tcPr>
            <w:tcW w:w="5044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Objectivo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1.1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1.1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2</w:t>
            </w:r>
          </w:p>
        </w:tc>
        <w:tc>
          <w:tcPr>
            <w:tcW w:w="5044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Âmbito e Conceitos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2.1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2.3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2.1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2.2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3</w:t>
            </w:r>
          </w:p>
        </w:tc>
        <w:tc>
          <w:tcPr>
            <w:tcW w:w="5044" w:type="dxa"/>
          </w:tcPr>
          <w:p w:rsidR="00EB065B" w:rsidRPr="009A15E9" w:rsidRDefault="00EB065B" w:rsidP="009A15E9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 xml:space="preserve">Considerações gerais sobre </w:t>
            </w:r>
            <w:r w:rsidR="009A15E9">
              <w:rPr>
                <w:rFonts w:ascii="Arial" w:hAnsi="Arial" w:cs="Arial"/>
                <w:color w:val="595959" w:themeColor="text1" w:themeTint="A6"/>
              </w:rPr>
              <w:t>r</w:t>
            </w:r>
            <w:r w:rsidRPr="009A15E9">
              <w:rPr>
                <w:rFonts w:ascii="Arial" w:hAnsi="Arial" w:cs="Arial"/>
                <w:color w:val="595959" w:themeColor="text1" w:themeTint="A6"/>
              </w:rPr>
              <w:t>econhecimento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3.1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3.6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3.1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3.6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4</w:t>
            </w:r>
          </w:p>
        </w:tc>
        <w:tc>
          <w:tcPr>
            <w:tcW w:w="5044" w:type="dxa"/>
          </w:tcPr>
          <w:p w:rsidR="00EB065B" w:rsidRPr="009A15E9" w:rsidRDefault="009A15E9" w:rsidP="009A15E9">
            <w:pPr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Estrutura e conteúdo das DF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4.1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4.19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4.1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4.17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5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Adopção pela 1.ª vez 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5.1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5.5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5.1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5.4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6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Politicas contabilísticas, alterações das políticas contabilísticas e erros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6.1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6.10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6.1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6.8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7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Activos fixos tangíveis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7.1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7.29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7.1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7.18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8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Activos intangíveis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8.1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8.27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8.1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8.19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9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Locações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9.1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9.18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9.1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9.14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10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Custos de empréstimos obtidos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10.1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10.13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10.1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10.2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11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Inventários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11.1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11.22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11.1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11.11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12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Rédito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12.1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12.12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12.1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12.8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13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Provisões, passivos contingentes e activos contingentes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13.1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13.33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13.1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13.7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14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Subsídios do governo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14.1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14.14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14.1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14.9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15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Efeitos de alterações de taxas de câmbio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15.1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15.6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15.1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15.5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16</w:t>
            </w:r>
          </w:p>
        </w:tc>
        <w:tc>
          <w:tcPr>
            <w:tcW w:w="5044" w:type="dxa"/>
          </w:tcPr>
          <w:p w:rsidR="00EB065B" w:rsidRPr="009A15E9" w:rsidRDefault="009A15E9" w:rsidP="009A15E9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Impostos sobre o rendimento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16.1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16.8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16.1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16.6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17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Instrumentos financeiros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17.1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17.25</w:t>
            </w:r>
          </w:p>
        </w:tc>
        <w:tc>
          <w:tcPr>
            <w:tcW w:w="1590" w:type="dxa"/>
          </w:tcPr>
          <w:p w:rsidR="00EB065B" w:rsidRPr="009A15E9" w:rsidRDefault="00423BDE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17.1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17.8</w:t>
            </w:r>
          </w:p>
        </w:tc>
      </w:tr>
      <w:tr w:rsidR="00EB065B" w:rsidTr="009A15E9"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lastRenderedPageBreak/>
              <w:t>18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Benefícios dos Empregados</w:t>
            </w:r>
          </w:p>
        </w:tc>
        <w:tc>
          <w:tcPr>
            <w:tcW w:w="1701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18.1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 w:rsidR="005E7A8C">
              <w:rPr>
                <w:rFonts w:ascii="Arial" w:hAnsi="Arial" w:cs="Arial"/>
                <w:color w:val="595959" w:themeColor="text1" w:themeTint="A6"/>
              </w:rPr>
              <w:t xml:space="preserve"> 18.15</w:t>
            </w:r>
          </w:p>
        </w:tc>
        <w:tc>
          <w:tcPr>
            <w:tcW w:w="1590" w:type="dxa"/>
          </w:tcPr>
          <w:p w:rsidR="00EB065B" w:rsidRPr="009A15E9" w:rsidRDefault="005E7A8C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0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 xml:space="preserve">18.1 </w:t>
            </w:r>
            <w:proofErr w:type="gramStart"/>
            <w:r>
              <w:rPr>
                <w:rFonts w:ascii="Arial" w:hAnsi="Arial" w:cs="Arial"/>
                <w:color w:val="595959" w:themeColor="text1" w:themeTint="A6"/>
              </w:rPr>
              <w:t>a</w:t>
            </w:r>
            <w:proofErr w:type="gramEnd"/>
            <w:r>
              <w:rPr>
                <w:rFonts w:ascii="Arial" w:hAnsi="Arial" w:cs="Arial"/>
                <w:color w:val="595959" w:themeColor="text1" w:themeTint="A6"/>
              </w:rPr>
              <w:t xml:space="preserve"> 18.7</w:t>
            </w:r>
          </w:p>
        </w:tc>
      </w:tr>
      <w:tr w:rsidR="00EB065B" w:rsidTr="009A15E9">
        <w:trPr>
          <w:cnfStyle w:val="000000100000"/>
        </w:trPr>
        <w:tc>
          <w:tcPr>
            <w:cnfStyle w:val="001000000000"/>
            <w:tcW w:w="1443" w:type="dxa"/>
          </w:tcPr>
          <w:p w:rsidR="00EB065B" w:rsidRPr="009A15E9" w:rsidRDefault="00EB065B" w:rsidP="00EB065B">
            <w:pPr>
              <w:tabs>
                <w:tab w:val="left" w:pos="0"/>
              </w:tabs>
              <w:spacing w:before="120" w:after="120" w:line="360" w:lineRule="auto"/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9A15E9">
              <w:rPr>
                <w:rFonts w:ascii="Arial" w:hAnsi="Arial" w:cs="Arial"/>
                <w:color w:val="595959" w:themeColor="text1" w:themeTint="A6"/>
              </w:rPr>
              <w:t>19</w:t>
            </w:r>
          </w:p>
        </w:tc>
        <w:tc>
          <w:tcPr>
            <w:tcW w:w="5044" w:type="dxa"/>
          </w:tcPr>
          <w:p w:rsidR="00EB065B" w:rsidRPr="009A15E9" w:rsidRDefault="009A15E9" w:rsidP="00EB065B">
            <w:pPr>
              <w:tabs>
                <w:tab w:val="left" w:pos="0"/>
              </w:tabs>
              <w:spacing w:before="120" w:after="120" w:line="360" w:lineRule="auto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Data da Eficácia</w:t>
            </w:r>
          </w:p>
        </w:tc>
        <w:tc>
          <w:tcPr>
            <w:tcW w:w="1701" w:type="dxa"/>
          </w:tcPr>
          <w:p w:rsidR="00EB065B" w:rsidRPr="009A15E9" w:rsidRDefault="005E7A8C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19.1</w:t>
            </w:r>
          </w:p>
        </w:tc>
        <w:tc>
          <w:tcPr>
            <w:tcW w:w="1590" w:type="dxa"/>
          </w:tcPr>
          <w:p w:rsidR="00EB065B" w:rsidRPr="009A15E9" w:rsidRDefault="005E7A8C" w:rsidP="00EB065B">
            <w:pPr>
              <w:tabs>
                <w:tab w:val="left" w:pos="0"/>
              </w:tabs>
              <w:spacing w:before="120" w:after="120" w:line="360" w:lineRule="auto"/>
              <w:jc w:val="center"/>
              <w:cnfStyle w:val="000000100000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---</w:t>
            </w:r>
          </w:p>
        </w:tc>
      </w:tr>
    </w:tbl>
    <w:p w:rsidR="00EB065B" w:rsidRDefault="009A15E9" w:rsidP="009A15E9">
      <w:pPr>
        <w:tabs>
          <w:tab w:val="left" w:pos="0"/>
        </w:tabs>
        <w:spacing w:before="120" w:after="12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Fonte: Elaboração própria</w:t>
      </w:r>
    </w:p>
    <w:p w:rsidR="00FA5492" w:rsidRPr="006B7077" w:rsidRDefault="00FA5492" w:rsidP="006B7077">
      <w:pPr>
        <w:tabs>
          <w:tab w:val="left" w:pos="0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E655D" w:rsidRPr="006B7077" w:rsidRDefault="006B7077" w:rsidP="00986EF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7077">
        <w:rPr>
          <w:rFonts w:ascii="Arial" w:hAnsi="Arial" w:cs="Arial"/>
          <w:sz w:val="24"/>
          <w:szCs w:val="24"/>
        </w:rPr>
        <w:t>Como se pode verificar, a NCM apresenta um número de itens, que se l</w:t>
      </w:r>
      <w:r w:rsidR="00516CCA">
        <w:rPr>
          <w:rFonts w:ascii="Arial" w:hAnsi="Arial" w:cs="Arial"/>
          <w:sz w:val="24"/>
          <w:szCs w:val="24"/>
        </w:rPr>
        <w:t>he aplicam, inferior à NCRF-PE.</w:t>
      </w:r>
      <w:r w:rsidRPr="006B7077">
        <w:rPr>
          <w:rFonts w:ascii="Arial" w:hAnsi="Arial" w:cs="Arial"/>
          <w:sz w:val="24"/>
          <w:szCs w:val="24"/>
        </w:rPr>
        <w:t xml:space="preserve"> No entanto, do ponto de vista da normalização contabilística, creio que a NCM</w:t>
      </w:r>
      <w:r w:rsidR="00516CCA">
        <w:rPr>
          <w:rFonts w:ascii="Arial" w:hAnsi="Arial" w:cs="Arial"/>
          <w:sz w:val="24"/>
          <w:szCs w:val="24"/>
        </w:rPr>
        <w:t xml:space="preserve"> </w:t>
      </w:r>
      <w:r w:rsidRPr="006B7077">
        <w:rPr>
          <w:rFonts w:ascii="Arial" w:hAnsi="Arial" w:cs="Arial"/>
          <w:sz w:val="24"/>
          <w:szCs w:val="24"/>
        </w:rPr>
        <w:t>seria dispensável uma vez que as diferenças para a NCRF-PE não são significativas</w:t>
      </w:r>
      <w:r w:rsidR="00516CCA">
        <w:rPr>
          <w:rFonts w:ascii="Arial" w:hAnsi="Arial" w:cs="Arial"/>
          <w:sz w:val="24"/>
          <w:szCs w:val="24"/>
        </w:rPr>
        <w:t>, já que no essencial são muito semelhantes</w:t>
      </w:r>
      <w:r w:rsidRPr="006B7077">
        <w:rPr>
          <w:rFonts w:ascii="Arial" w:hAnsi="Arial" w:cs="Arial"/>
          <w:sz w:val="24"/>
          <w:szCs w:val="24"/>
        </w:rPr>
        <w:t>.</w:t>
      </w:r>
    </w:p>
    <w:p w:rsidR="002F0EDD" w:rsidRPr="006B7077" w:rsidRDefault="002F0EDD" w:rsidP="006B7077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B7077">
        <w:rPr>
          <w:rFonts w:ascii="Arial" w:hAnsi="Arial" w:cs="Arial"/>
          <w:sz w:val="24"/>
          <w:szCs w:val="24"/>
        </w:rPr>
        <w:br w:type="page"/>
      </w:r>
    </w:p>
    <w:p w:rsidR="00CF08C1" w:rsidRPr="00986EFC" w:rsidRDefault="00CF08C1" w:rsidP="00986EFC">
      <w:pPr>
        <w:pStyle w:val="Ttulo1"/>
        <w:numPr>
          <w:ilvl w:val="0"/>
          <w:numId w:val="14"/>
        </w:numPr>
        <w:ind w:left="1066" w:hanging="357"/>
        <w:jc w:val="both"/>
      </w:pPr>
      <w:bookmarkStart w:id="5" w:name="_Toc308126200"/>
      <w:r w:rsidRPr="00986EFC">
        <w:lastRenderedPageBreak/>
        <w:t>CONCLUSÃO</w:t>
      </w:r>
      <w:bookmarkEnd w:id="5"/>
    </w:p>
    <w:p w:rsidR="002F0EDD" w:rsidRDefault="005B63C6" w:rsidP="002F0E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5681">
        <w:rPr>
          <w:rFonts w:ascii="Arial" w:hAnsi="Arial" w:cs="Arial"/>
          <w:sz w:val="24"/>
          <w:szCs w:val="24"/>
        </w:rPr>
        <w:t xml:space="preserve">    </w:t>
      </w:r>
      <w:r w:rsidR="00CF08C1" w:rsidRPr="00825681">
        <w:rPr>
          <w:rFonts w:ascii="Arial" w:hAnsi="Arial" w:cs="Arial"/>
          <w:sz w:val="24"/>
          <w:szCs w:val="24"/>
        </w:rPr>
        <w:tab/>
      </w:r>
    </w:p>
    <w:p w:rsidR="005B63C6" w:rsidRPr="00825681" w:rsidRDefault="00CE655D" w:rsidP="002F0E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25681">
        <w:rPr>
          <w:rFonts w:ascii="Arial" w:hAnsi="Arial" w:cs="Arial"/>
          <w:sz w:val="24"/>
          <w:szCs w:val="24"/>
        </w:rPr>
        <w:t>Até à data de publicação da NCM existiam dois níveis de normalização contabilística no SNC</w:t>
      </w:r>
      <w:r w:rsidR="00825681" w:rsidRPr="00825681">
        <w:rPr>
          <w:rFonts w:ascii="Arial" w:hAnsi="Arial" w:cs="Arial"/>
          <w:sz w:val="24"/>
          <w:szCs w:val="24"/>
        </w:rPr>
        <w:t>,</w:t>
      </w:r>
      <w:r w:rsidRPr="00825681">
        <w:rPr>
          <w:rFonts w:ascii="Arial" w:hAnsi="Arial" w:cs="Arial"/>
          <w:sz w:val="24"/>
          <w:szCs w:val="24"/>
        </w:rPr>
        <w:t xml:space="preserve"> </w:t>
      </w:r>
      <w:r w:rsidR="00825681" w:rsidRPr="00825681">
        <w:rPr>
          <w:rFonts w:ascii="Arial" w:hAnsi="Arial" w:cs="Arial"/>
          <w:sz w:val="24"/>
          <w:szCs w:val="24"/>
        </w:rPr>
        <w:t>u</w:t>
      </w:r>
      <w:r w:rsidRPr="00825681">
        <w:rPr>
          <w:rFonts w:ascii="Arial" w:hAnsi="Arial" w:cs="Arial"/>
          <w:sz w:val="24"/>
          <w:szCs w:val="24"/>
        </w:rPr>
        <w:t>m modelo</w:t>
      </w:r>
      <w:r w:rsidR="00825681" w:rsidRPr="00825681">
        <w:rPr>
          <w:rFonts w:ascii="Arial" w:hAnsi="Arial" w:cs="Arial"/>
          <w:sz w:val="24"/>
          <w:szCs w:val="24"/>
        </w:rPr>
        <w:t xml:space="preserve"> </w:t>
      </w:r>
      <w:r w:rsidRPr="00825681">
        <w:rPr>
          <w:rFonts w:ascii="Arial" w:hAnsi="Arial" w:cs="Arial"/>
          <w:sz w:val="24"/>
          <w:szCs w:val="24"/>
        </w:rPr>
        <w:t xml:space="preserve">geral </w:t>
      </w:r>
      <w:r w:rsidR="00825681" w:rsidRPr="00825681">
        <w:rPr>
          <w:rFonts w:ascii="Arial" w:hAnsi="Arial" w:cs="Arial"/>
          <w:sz w:val="24"/>
          <w:szCs w:val="24"/>
        </w:rPr>
        <w:t>(</w:t>
      </w:r>
      <w:r w:rsidRPr="00825681">
        <w:rPr>
          <w:rFonts w:ascii="Arial" w:hAnsi="Arial" w:cs="Arial"/>
          <w:sz w:val="24"/>
          <w:szCs w:val="24"/>
        </w:rPr>
        <w:t>constituído por 28 Normas Contabilísticas e de Relato Financeiro (NCRF), e um modelo</w:t>
      </w:r>
      <w:r w:rsidR="00825681" w:rsidRPr="00825681">
        <w:rPr>
          <w:rFonts w:ascii="Arial" w:hAnsi="Arial" w:cs="Arial"/>
          <w:sz w:val="24"/>
          <w:szCs w:val="24"/>
        </w:rPr>
        <w:t xml:space="preserve"> reduzido, </w:t>
      </w:r>
      <w:r w:rsidRPr="00825681">
        <w:rPr>
          <w:rFonts w:ascii="Arial" w:hAnsi="Arial" w:cs="Arial"/>
          <w:sz w:val="24"/>
          <w:szCs w:val="24"/>
        </w:rPr>
        <w:t>aplicável às Pequenas Entidades (PE), definidas no âmbito do art.º 9.º do Decreto-Lei n.º</w:t>
      </w:r>
      <w:r w:rsidR="00825681" w:rsidRPr="00825681">
        <w:rPr>
          <w:rFonts w:ascii="Arial" w:hAnsi="Arial" w:cs="Arial"/>
          <w:sz w:val="24"/>
          <w:szCs w:val="24"/>
        </w:rPr>
        <w:t xml:space="preserve"> </w:t>
      </w:r>
      <w:r w:rsidRPr="00825681">
        <w:rPr>
          <w:rFonts w:ascii="Arial" w:hAnsi="Arial" w:cs="Arial"/>
          <w:sz w:val="24"/>
          <w:szCs w:val="24"/>
        </w:rPr>
        <w:t>158/2009, de 13 de Julho, que aprovou o SNC, constituído por uma única norma designada de</w:t>
      </w:r>
      <w:r w:rsidR="00825681" w:rsidRPr="00825681">
        <w:rPr>
          <w:rFonts w:ascii="Arial" w:hAnsi="Arial" w:cs="Arial"/>
          <w:sz w:val="24"/>
          <w:szCs w:val="24"/>
        </w:rPr>
        <w:t xml:space="preserve"> </w:t>
      </w:r>
      <w:r w:rsidRPr="00825681">
        <w:rPr>
          <w:rFonts w:ascii="Arial" w:hAnsi="Arial" w:cs="Arial"/>
          <w:sz w:val="24"/>
          <w:szCs w:val="24"/>
        </w:rPr>
        <w:t>“Norma Contabilística e de Relato Financeiro para Pequenas Entidades” (NCRF-PE).</w:t>
      </w:r>
      <w:r w:rsidR="00825681">
        <w:rPr>
          <w:rFonts w:ascii="Arial" w:hAnsi="Arial" w:cs="Arial"/>
          <w:sz w:val="24"/>
          <w:szCs w:val="24"/>
        </w:rPr>
        <w:t xml:space="preserve"> </w:t>
      </w:r>
      <w:r w:rsidR="00825681" w:rsidRPr="00825681">
        <w:rPr>
          <w:rFonts w:ascii="Arial" w:hAnsi="Arial" w:cs="Arial"/>
          <w:sz w:val="24"/>
          <w:szCs w:val="24"/>
        </w:rPr>
        <w:t xml:space="preserve">Com a publicação da NCM, </w:t>
      </w:r>
      <w:r w:rsidRPr="00825681">
        <w:rPr>
          <w:rFonts w:ascii="Arial" w:hAnsi="Arial" w:cs="Arial"/>
          <w:sz w:val="24"/>
          <w:szCs w:val="24"/>
        </w:rPr>
        <w:t>p</w:t>
      </w:r>
      <w:r w:rsidR="00825681" w:rsidRPr="00825681">
        <w:rPr>
          <w:rFonts w:ascii="Arial" w:hAnsi="Arial" w:cs="Arial"/>
          <w:sz w:val="24"/>
          <w:szCs w:val="24"/>
        </w:rPr>
        <w:t>ode considerar-se</w:t>
      </w:r>
      <w:r w:rsidR="00C42E37">
        <w:rPr>
          <w:rFonts w:ascii="Arial" w:hAnsi="Arial" w:cs="Arial"/>
          <w:sz w:val="24"/>
          <w:szCs w:val="24"/>
        </w:rPr>
        <w:t xml:space="preserve"> </w:t>
      </w:r>
      <w:r w:rsidRPr="00825681">
        <w:rPr>
          <w:rFonts w:ascii="Arial" w:hAnsi="Arial" w:cs="Arial"/>
          <w:sz w:val="24"/>
          <w:szCs w:val="24"/>
        </w:rPr>
        <w:t xml:space="preserve">a </w:t>
      </w:r>
      <w:r w:rsidR="00825681" w:rsidRPr="00825681">
        <w:rPr>
          <w:rFonts w:ascii="Arial" w:hAnsi="Arial" w:cs="Arial"/>
          <w:sz w:val="24"/>
          <w:szCs w:val="24"/>
        </w:rPr>
        <w:t>mesma</w:t>
      </w:r>
      <w:r w:rsidR="00C42E37">
        <w:rPr>
          <w:rFonts w:ascii="Arial" w:hAnsi="Arial" w:cs="Arial"/>
          <w:sz w:val="24"/>
          <w:szCs w:val="24"/>
        </w:rPr>
        <w:t xml:space="preserve"> como</w:t>
      </w:r>
      <w:r w:rsidRPr="00825681">
        <w:rPr>
          <w:rFonts w:ascii="Arial" w:hAnsi="Arial" w:cs="Arial"/>
          <w:sz w:val="24"/>
          <w:szCs w:val="24"/>
        </w:rPr>
        <w:t xml:space="preserve"> </w:t>
      </w:r>
      <w:r w:rsidR="00825681" w:rsidRPr="00825681">
        <w:rPr>
          <w:rFonts w:ascii="Arial" w:hAnsi="Arial" w:cs="Arial"/>
          <w:sz w:val="24"/>
          <w:szCs w:val="24"/>
        </w:rPr>
        <w:t>um</w:t>
      </w:r>
      <w:r w:rsidRPr="00825681">
        <w:rPr>
          <w:rFonts w:ascii="Arial" w:hAnsi="Arial" w:cs="Arial"/>
          <w:sz w:val="24"/>
          <w:szCs w:val="24"/>
        </w:rPr>
        <w:t xml:space="preserve"> terceiro nível de normalização</w:t>
      </w:r>
      <w:r w:rsidR="00825681" w:rsidRPr="00825681">
        <w:rPr>
          <w:rFonts w:ascii="Arial" w:hAnsi="Arial" w:cs="Arial"/>
          <w:sz w:val="24"/>
          <w:szCs w:val="24"/>
        </w:rPr>
        <w:t xml:space="preserve"> </w:t>
      </w:r>
      <w:r w:rsidRPr="00825681">
        <w:rPr>
          <w:rFonts w:ascii="Arial" w:hAnsi="Arial" w:cs="Arial"/>
          <w:sz w:val="24"/>
          <w:szCs w:val="24"/>
        </w:rPr>
        <w:t>contabilística do SNC</w:t>
      </w:r>
      <w:r w:rsidR="00825681" w:rsidRPr="00825681">
        <w:rPr>
          <w:rFonts w:ascii="Arial" w:hAnsi="Arial" w:cs="Arial"/>
          <w:sz w:val="24"/>
          <w:szCs w:val="24"/>
        </w:rPr>
        <w:t>.</w:t>
      </w:r>
    </w:p>
    <w:p w:rsidR="003F07DE" w:rsidRPr="00CE655D" w:rsidRDefault="00825681" w:rsidP="008256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Existem muitas reticências de vários autores relativamente à importância da existência da NCM, uma vez que na realidade as diferenças entre esta e a NCRF-PE não são significativas, sendo que o seu principal objectivo é a redução de custos administrativos</w:t>
      </w:r>
      <w:r w:rsidR="002F0EDD">
        <w:rPr>
          <w:rFonts w:ascii="Arial" w:hAnsi="Arial" w:cs="Arial"/>
          <w:sz w:val="24"/>
          <w:szCs w:val="24"/>
        </w:rPr>
        <w:t>.</w:t>
      </w:r>
    </w:p>
    <w:p w:rsidR="003F07DE" w:rsidRPr="00CE655D" w:rsidRDefault="003F07DE" w:rsidP="008256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55AE3" w:rsidRDefault="00955A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913EE" w:rsidRPr="00986EFC" w:rsidRDefault="00986EFC" w:rsidP="00986EFC">
      <w:pPr>
        <w:pStyle w:val="Ttulo1"/>
        <w:numPr>
          <w:ilvl w:val="0"/>
          <w:numId w:val="14"/>
        </w:numPr>
        <w:ind w:left="1066" w:hanging="357"/>
        <w:jc w:val="both"/>
      </w:pPr>
      <w:bookmarkStart w:id="6" w:name="_Toc308126201"/>
      <w:r w:rsidRPr="00986EFC">
        <w:lastRenderedPageBreak/>
        <w:t>BIBLIOGRAFIA</w:t>
      </w:r>
      <w:bookmarkEnd w:id="6"/>
    </w:p>
    <w:p w:rsidR="002F0EDD" w:rsidRPr="002F0EDD" w:rsidRDefault="002F0EDD" w:rsidP="002F0EDD">
      <w:pPr>
        <w:spacing w:after="0" w:line="360" w:lineRule="auto"/>
        <w:ind w:left="708"/>
        <w:jc w:val="both"/>
        <w:rPr>
          <w:rFonts w:ascii="Arial" w:hAnsi="Arial" w:cs="Arial"/>
          <w:b/>
          <w:sz w:val="24"/>
          <w:szCs w:val="24"/>
        </w:rPr>
      </w:pPr>
    </w:p>
    <w:p w:rsidR="00D70B0E" w:rsidRPr="00CE655D" w:rsidRDefault="004913EE" w:rsidP="00CE655D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auto"/>
        </w:rPr>
      </w:pPr>
      <w:r w:rsidRPr="00CE655D">
        <w:rPr>
          <w:rFonts w:ascii="Arial" w:hAnsi="Arial" w:cs="Arial"/>
          <w:color w:val="auto"/>
        </w:rPr>
        <w:t>Decreto-L</w:t>
      </w:r>
      <w:r w:rsidR="00850E5F" w:rsidRPr="00CE655D">
        <w:rPr>
          <w:rFonts w:ascii="Arial" w:hAnsi="Arial" w:cs="Arial"/>
          <w:color w:val="auto"/>
        </w:rPr>
        <w:t>ei n.º 158/2009, de 13 de Julho</w:t>
      </w:r>
      <w:r w:rsidR="00D70B0E" w:rsidRPr="00CE655D">
        <w:rPr>
          <w:rFonts w:ascii="Arial" w:hAnsi="Arial" w:cs="Arial"/>
          <w:color w:val="auto"/>
        </w:rPr>
        <w:t xml:space="preserve"> </w:t>
      </w:r>
    </w:p>
    <w:p w:rsidR="004913EE" w:rsidRPr="00CE655D" w:rsidRDefault="00850E5F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E655D">
        <w:rPr>
          <w:rFonts w:ascii="Arial" w:hAnsi="Arial" w:cs="Arial"/>
          <w:bCs/>
          <w:sz w:val="24"/>
          <w:szCs w:val="24"/>
        </w:rPr>
        <w:t>Aviso n.º 15654/2009, de 27 de Agosto</w:t>
      </w:r>
      <w:r w:rsidR="00A02329" w:rsidRPr="00CE655D">
        <w:rPr>
          <w:rFonts w:ascii="Arial" w:hAnsi="Arial" w:cs="Arial"/>
          <w:bCs/>
          <w:sz w:val="24"/>
          <w:szCs w:val="24"/>
        </w:rPr>
        <w:t>, n</w:t>
      </w:r>
      <w:r w:rsidR="00A02329" w:rsidRPr="00CE655D">
        <w:rPr>
          <w:rFonts w:ascii="Arial" w:hAnsi="Arial" w:cs="Arial"/>
          <w:sz w:val="24"/>
          <w:szCs w:val="24"/>
        </w:rPr>
        <w:t>orma contabilística e de relato financeiro para pequenas entidades</w:t>
      </w:r>
    </w:p>
    <w:p w:rsidR="00D70B0E" w:rsidRPr="00CE655D" w:rsidRDefault="00850E5F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E655D">
        <w:rPr>
          <w:rFonts w:ascii="Arial" w:hAnsi="Arial" w:cs="Arial"/>
          <w:bCs/>
          <w:sz w:val="24"/>
          <w:szCs w:val="24"/>
        </w:rPr>
        <w:t>Aviso n.º 15652/2009, de 27 de Agosto</w:t>
      </w:r>
      <w:r w:rsidR="00A02329" w:rsidRPr="00CE655D">
        <w:rPr>
          <w:rFonts w:ascii="Arial" w:hAnsi="Arial" w:cs="Arial"/>
          <w:bCs/>
          <w:sz w:val="24"/>
          <w:szCs w:val="24"/>
        </w:rPr>
        <w:t>, e</w:t>
      </w:r>
      <w:r w:rsidR="00A02329" w:rsidRPr="00CE655D">
        <w:rPr>
          <w:rFonts w:ascii="Arial" w:hAnsi="Arial" w:cs="Arial"/>
          <w:sz w:val="24"/>
          <w:szCs w:val="24"/>
        </w:rPr>
        <w:t>strutura conceptual</w:t>
      </w:r>
    </w:p>
    <w:p w:rsidR="00D70B0E" w:rsidRPr="00CE655D" w:rsidRDefault="00D70B0E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655D">
        <w:rPr>
          <w:rFonts w:ascii="Arial" w:hAnsi="Arial" w:cs="Arial"/>
          <w:sz w:val="24"/>
          <w:szCs w:val="24"/>
        </w:rPr>
        <w:t>Lei n.º 20/2010, de 23 de Agosto</w:t>
      </w:r>
      <w:r w:rsidR="00A02329" w:rsidRPr="00CE655D">
        <w:rPr>
          <w:rFonts w:ascii="Arial" w:hAnsi="Arial" w:cs="Arial"/>
          <w:sz w:val="24"/>
          <w:szCs w:val="24"/>
        </w:rPr>
        <w:t>, alarga o conceito de pequenas entidades</w:t>
      </w:r>
    </w:p>
    <w:p w:rsidR="00D70B0E" w:rsidRPr="00CE655D" w:rsidRDefault="00D70B0E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655D">
        <w:rPr>
          <w:rFonts w:ascii="Arial" w:hAnsi="Arial" w:cs="Arial"/>
          <w:sz w:val="24"/>
          <w:szCs w:val="24"/>
        </w:rPr>
        <w:t>Lei n.º 35/2010, de 2 de Setembro</w:t>
      </w:r>
      <w:r w:rsidR="00DD59C2" w:rsidRPr="00CE655D">
        <w:rPr>
          <w:rFonts w:ascii="Arial" w:hAnsi="Arial" w:cs="Arial"/>
          <w:sz w:val="24"/>
          <w:szCs w:val="24"/>
        </w:rPr>
        <w:t xml:space="preserve">, aprova o regime especial para </w:t>
      </w:r>
      <w:proofErr w:type="spellStart"/>
      <w:r w:rsidR="00DD59C2" w:rsidRPr="00CE655D">
        <w:rPr>
          <w:rFonts w:ascii="Arial" w:hAnsi="Arial" w:cs="Arial"/>
          <w:sz w:val="24"/>
          <w:szCs w:val="24"/>
        </w:rPr>
        <w:t>microentidades</w:t>
      </w:r>
      <w:proofErr w:type="spellEnd"/>
    </w:p>
    <w:p w:rsidR="00850E5F" w:rsidRPr="00CE655D" w:rsidRDefault="00D70B0E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E655D">
        <w:rPr>
          <w:rFonts w:ascii="Arial" w:hAnsi="Arial" w:cs="Arial"/>
          <w:sz w:val="24"/>
          <w:szCs w:val="24"/>
        </w:rPr>
        <w:t>Decreto-Lei n.º 36-A/2011, de 9 de Março</w:t>
      </w:r>
      <w:r w:rsidR="00DD59C2" w:rsidRPr="00CE655D">
        <w:rPr>
          <w:rFonts w:ascii="Arial" w:hAnsi="Arial" w:cs="Arial"/>
          <w:sz w:val="24"/>
          <w:szCs w:val="24"/>
        </w:rPr>
        <w:t xml:space="preserve">, aprova o regime de normalização contabilística para </w:t>
      </w:r>
      <w:proofErr w:type="spellStart"/>
      <w:r w:rsidR="00DD59C2" w:rsidRPr="00CE655D">
        <w:rPr>
          <w:rFonts w:ascii="Arial" w:hAnsi="Arial" w:cs="Arial"/>
          <w:sz w:val="24"/>
          <w:szCs w:val="24"/>
        </w:rPr>
        <w:t>microentidades</w:t>
      </w:r>
      <w:proofErr w:type="spellEnd"/>
      <w:r w:rsidR="00DD59C2" w:rsidRPr="00CE655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-3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81"/>
      </w:tblGrid>
      <w:tr w:rsidR="00B94389" w:rsidRPr="00CE655D" w:rsidTr="00DD59C2">
        <w:trPr>
          <w:trHeight w:val="289"/>
        </w:trPr>
        <w:tc>
          <w:tcPr>
            <w:tcW w:w="9781" w:type="dxa"/>
          </w:tcPr>
          <w:p w:rsidR="00DD59C2" w:rsidRPr="00CE655D" w:rsidRDefault="00B94389" w:rsidP="00CE655D">
            <w:pPr>
              <w:pStyle w:val="StyleHeading211ptBefore24ptLinespacing15lines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</w:rPr>
            </w:pPr>
            <w:r w:rsidRPr="00CE655D">
              <w:rPr>
                <w:rStyle w:val="A3"/>
                <w:rFonts w:ascii="Arial" w:hAnsi="Arial" w:cs="Arial"/>
                <w:color w:val="auto"/>
                <w:sz w:val="24"/>
                <w:szCs w:val="24"/>
              </w:rPr>
              <w:t>Aviso n.º 6726-A/2011, de 14 de Março</w:t>
            </w:r>
            <w:r w:rsidR="00DD59C2" w:rsidRPr="00CE655D">
              <w:rPr>
                <w:rStyle w:val="A3"/>
                <w:rFonts w:ascii="Arial" w:hAnsi="Arial" w:cs="Arial"/>
                <w:color w:val="auto"/>
                <w:sz w:val="24"/>
                <w:szCs w:val="24"/>
              </w:rPr>
              <w:t xml:space="preserve">, </w:t>
            </w:r>
            <w:r w:rsidR="00DD59C2" w:rsidRPr="00CE655D">
              <w:rPr>
                <w:rFonts w:ascii="Arial" w:hAnsi="Arial" w:cs="Arial"/>
              </w:rPr>
              <w:t xml:space="preserve">publica a norma contabilística para </w:t>
            </w:r>
            <w:proofErr w:type="spellStart"/>
            <w:r w:rsidR="00DD59C2" w:rsidRPr="00CE655D">
              <w:rPr>
                <w:rFonts w:ascii="Arial" w:hAnsi="Arial" w:cs="Arial"/>
              </w:rPr>
              <w:t>microentidades</w:t>
            </w:r>
            <w:proofErr w:type="spellEnd"/>
          </w:p>
          <w:p w:rsidR="001E4EA4" w:rsidRPr="00CE655D" w:rsidRDefault="00A25BF4" w:rsidP="00CE655D">
            <w:pPr>
              <w:pStyle w:val="Default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auto"/>
              </w:rPr>
            </w:pPr>
            <w:hyperlink r:id="rId22" w:history="1">
              <w:r w:rsidR="001E4EA4" w:rsidRPr="00CE655D">
                <w:rPr>
                  <w:rStyle w:val="Hiperligao"/>
                  <w:rFonts w:ascii="Arial" w:hAnsi="Arial" w:cs="Arial"/>
                  <w:color w:val="auto"/>
                  <w:u w:val="none"/>
                </w:rPr>
                <w:t>Portaria n.º 104/2011, de 14 de Março</w:t>
              </w:r>
            </w:hyperlink>
            <w:r w:rsidR="001E4EA4" w:rsidRPr="00CE655D">
              <w:rPr>
                <w:rFonts w:ascii="Arial" w:hAnsi="Arial" w:cs="Arial"/>
                <w:color w:val="auto"/>
              </w:rPr>
              <w:t xml:space="preserve"> – aprova os modelos de demonstrações financeiras para </w:t>
            </w:r>
            <w:proofErr w:type="spellStart"/>
            <w:r w:rsidR="001E4EA4" w:rsidRPr="00CE655D">
              <w:rPr>
                <w:rFonts w:ascii="Arial" w:hAnsi="Arial" w:cs="Arial"/>
                <w:color w:val="auto"/>
              </w:rPr>
              <w:t>microentidades</w:t>
            </w:r>
            <w:proofErr w:type="spellEnd"/>
          </w:p>
          <w:p w:rsidR="00B94389" w:rsidRPr="00CE655D" w:rsidRDefault="00A25BF4" w:rsidP="00CE655D">
            <w:pPr>
              <w:pStyle w:val="Default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color w:val="auto"/>
              </w:rPr>
            </w:pPr>
            <w:hyperlink r:id="rId23" w:history="1">
              <w:r w:rsidR="001E4EA4" w:rsidRPr="00CE655D">
                <w:rPr>
                  <w:rStyle w:val="Hiperligao"/>
                  <w:rFonts w:ascii="Arial" w:hAnsi="Arial" w:cs="Arial"/>
                  <w:color w:val="auto"/>
                  <w:u w:val="none"/>
                </w:rPr>
                <w:t>Portaria n.º 107/2011, de 14 de Março</w:t>
              </w:r>
            </w:hyperlink>
            <w:r w:rsidR="001E4EA4" w:rsidRPr="00CE655D">
              <w:rPr>
                <w:rFonts w:ascii="Arial" w:hAnsi="Arial" w:cs="Arial"/>
                <w:color w:val="auto"/>
              </w:rPr>
              <w:t xml:space="preserve"> – aprova o código de contas para </w:t>
            </w:r>
            <w:proofErr w:type="spellStart"/>
            <w:r w:rsidR="001E4EA4" w:rsidRPr="00CE655D">
              <w:rPr>
                <w:rFonts w:ascii="Arial" w:hAnsi="Arial" w:cs="Arial"/>
                <w:color w:val="auto"/>
              </w:rPr>
              <w:t>microentidades</w:t>
            </w:r>
            <w:proofErr w:type="spellEnd"/>
          </w:p>
        </w:tc>
      </w:tr>
    </w:tbl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4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http://www.cnc.min-financas.pt/0_new_site/SNC/sitecnc_SNC.htm</w:t>
        </w:r>
      </w:hyperlink>
    </w:p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5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http://www.cnc.min-financas.pt/0_new_site/FAQs/sitecnc_faqs.htm</w:t>
        </w:r>
      </w:hyperlink>
    </w:p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6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http://www.cnc.min-financas.pt/SNC_projecto/DL_SNC_anexo.pdf</w:t>
        </w:r>
      </w:hyperlink>
    </w:p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7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http://www.cnc.min-financas.pt/SNC_projecto/DL_SNC_anexo.pdf</w:t>
        </w:r>
      </w:hyperlink>
    </w:p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8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http://www.aiminho.pt/imgAll/file/Outros/SNC_AIM_Joaquim_Guimaraes.pdf</w:t>
        </w:r>
      </w:hyperlink>
    </w:p>
    <w:p w:rsidR="004913EE" w:rsidRPr="00CE655D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9" w:history="1">
        <w:r w:rsidR="004913EE" w:rsidRPr="00CE655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http://www.cnc.min-financas.pt/0_new_site/docs_originais/Microentidades.pdf</w:t>
        </w:r>
      </w:hyperlink>
    </w:p>
    <w:p w:rsidR="004913EE" w:rsidRPr="00E26F19" w:rsidRDefault="00A25BF4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30" w:history="1">
        <w:r w:rsidR="004913EE" w:rsidRPr="002F0EDD">
          <w:rPr>
            <w:rStyle w:val="Hiperligao"/>
            <w:rFonts w:ascii="Arial" w:hAnsi="Arial" w:cs="Arial"/>
            <w:color w:val="auto"/>
            <w:sz w:val="24"/>
            <w:szCs w:val="24"/>
            <w:u w:val="none"/>
          </w:rPr>
          <w:t>http://www.cnc.min-financas.pt/0_new_site/NCM/sitecnc_NCM.htm</w:t>
        </w:r>
      </w:hyperlink>
    </w:p>
    <w:p w:rsidR="00E26F19" w:rsidRPr="002F0EDD" w:rsidRDefault="00E26F19" w:rsidP="00CE655D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Ferreira, Elisabete Costa – </w:t>
      </w:r>
      <w:r w:rsidRPr="00E26F19">
        <w:rPr>
          <w:rFonts w:ascii="Arial" w:hAnsi="Arial" w:cs="Arial"/>
          <w:i/>
          <w:sz w:val="24"/>
          <w:szCs w:val="24"/>
        </w:rPr>
        <w:t>Norma</w:t>
      </w:r>
      <w:r>
        <w:rPr>
          <w:rFonts w:ascii="Arial" w:hAnsi="Arial" w:cs="Arial"/>
          <w:i/>
          <w:sz w:val="24"/>
          <w:szCs w:val="24"/>
        </w:rPr>
        <w:t>s</w:t>
      </w:r>
      <w:r w:rsidRPr="00E26F19">
        <w:rPr>
          <w:rFonts w:ascii="Arial" w:hAnsi="Arial" w:cs="Arial"/>
          <w:i/>
          <w:sz w:val="24"/>
          <w:szCs w:val="24"/>
        </w:rPr>
        <w:t xml:space="preserve"> Contabilísticas e de Relato Financeiro</w:t>
      </w:r>
      <w:r>
        <w:rPr>
          <w:rFonts w:ascii="Arial" w:hAnsi="Arial" w:cs="Arial"/>
          <w:sz w:val="24"/>
          <w:szCs w:val="24"/>
        </w:rPr>
        <w:t xml:space="preserve">, s. </w:t>
      </w:r>
      <w:proofErr w:type="gramStart"/>
      <w:r>
        <w:rPr>
          <w:rFonts w:ascii="Arial" w:hAnsi="Arial" w:cs="Arial"/>
          <w:sz w:val="24"/>
          <w:szCs w:val="24"/>
        </w:rPr>
        <w:t>l.</w:t>
      </w:r>
      <w:proofErr w:type="gramEnd"/>
      <w:r>
        <w:rPr>
          <w:rFonts w:ascii="Arial" w:hAnsi="Arial" w:cs="Arial"/>
          <w:sz w:val="24"/>
          <w:szCs w:val="24"/>
        </w:rPr>
        <w:t>, 2011</w:t>
      </w:r>
    </w:p>
    <w:p w:rsidR="004913EE" w:rsidRPr="00A02329" w:rsidRDefault="004913EE" w:rsidP="002F0ED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4913EE" w:rsidRPr="00A02329" w:rsidSect="00D95EA7">
      <w:footerReference w:type="default" r:id="rId31"/>
      <w:footerReference w:type="first" r:id="rId3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016" w:rsidRDefault="00524016" w:rsidP="005B65E2">
      <w:pPr>
        <w:spacing w:after="0" w:line="240" w:lineRule="auto"/>
      </w:pPr>
      <w:r>
        <w:separator/>
      </w:r>
    </w:p>
  </w:endnote>
  <w:endnote w:type="continuationSeparator" w:id="0">
    <w:p w:rsidR="00524016" w:rsidRDefault="00524016" w:rsidP="005B6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Opti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HFK F+ Optima">
    <w:altName w:val="AKHFK F+ Opti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HGI E+ Calibri">
    <w:altName w:val="AKHGI E+ 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-Regular">
    <w:altName w:val="Agency FB"/>
    <w:charset w:val="00"/>
    <w:family w:val="swiss"/>
    <w:pitch w:val="variable"/>
    <w:sig w:usb0="80000027" w:usb1="0000002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8FA" w:rsidRPr="005E054D" w:rsidRDefault="00A25BF4" w:rsidP="008C1429">
    <w:pPr>
      <w:pStyle w:val="Rodap"/>
      <w:pBdr>
        <w:top w:val="single" w:sz="4" w:space="1" w:color="A5A5A5" w:themeColor="background1" w:themeShade="A5"/>
      </w:pBdr>
      <w:tabs>
        <w:tab w:val="clear" w:pos="4252"/>
        <w:tab w:val="left" w:pos="4111"/>
        <w:tab w:val="center" w:pos="7655"/>
      </w:tabs>
      <w:jc w:val="center"/>
      <w:rPr>
        <w:color w:val="808080" w:themeColor="background1" w:themeShade="80"/>
      </w:rPr>
    </w:pPr>
    <w:r>
      <w:rPr>
        <w:noProof/>
        <w:color w:val="808080" w:themeColor="background1" w:themeShade="80"/>
        <w:lang w:eastAsia="zh-TW"/>
      </w:rPr>
      <w:pict>
        <v:group id="_x0000_s5155" style="position:absolute;left:0;text-align:left;margin-left:0;margin-top:0;width:580.05pt;height:27.35pt;z-index:251660288;mso-position-horizontal:center;mso-position-horizontal-relative:page;mso-position-vertical:top;mso-position-vertical-relative:line" coordorigin="321,14850" coordsize="11601,547">
          <v:rect id="_x0000_s5156" style="position:absolute;left:374;top:14903;width:9346;height:432;mso-position-horizontal-relative:page;mso-position-vertical:center;mso-position-vertical-relative:bottom-margin-area" o:allowincell="f" fillcolor="#943634 [2405]" stroked="f" strokecolor="#943634 [2405]">
            <v:fill color2="#943634 [2405]"/>
            <v:textbox style="mso-next-textbox:#_x0000_s5156">
              <w:txbxContent>
                <w:sdt>
                  <w:sdtPr>
                    <w:rPr>
                      <w:color w:val="FFFFFF" w:themeColor="background1"/>
                      <w:spacing w:val="60"/>
                    </w:rPr>
                    <w:alias w:val="Endereço"/>
                    <w:id w:val="79885540"/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Content>
                    <w:p w:rsidR="007528FA" w:rsidRDefault="007528FA" w:rsidP="008C1429">
                      <w:pPr>
                        <w:pStyle w:val="Rodap"/>
                        <w:tabs>
                          <w:tab w:val="clear" w:pos="8504"/>
                          <w:tab w:val="right" w:pos="8222"/>
                        </w:tabs>
                        <w:ind w:right="696"/>
                        <w:jc w:val="right"/>
                        <w:rPr>
                          <w:color w:val="FFFFFF" w:themeColor="background1"/>
                          <w:spacing w:val="60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  <w:spacing w:val="60"/>
                        </w:rPr>
                        <w:t>AUDITORIA                                        SNCPE</w:t>
                      </w:r>
                      <w:proofErr w:type="gramEnd"/>
                      <w:r>
                        <w:rPr>
                          <w:color w:val="FFFFFF" w:themeColor="background1"/>
                          <w:spacing w:val="60"/>
                        </w:rPr>
                        <w:t xml:space="preserve"> vs NCM</w:t>
                      </w:r>
                    </w:p>
                  </w:sdtContent>
                </w:sdt>
                <w:p w:rsidR="007528FA" w:rsidRDefault="007528FA">
                  <w:pPr>
                    <w:pStyle w:val="Cabealho"/>
                    <w:rPr>
                      <w:color w:val="FFFFFF" w:themeColor="background1"/>
                    </w:rPr>
                  </w:pPr>
                </w:p>
              </w:txbxContent>
            </v:textbox>
          </v:rect>
          <v:rect id="_x0000_s5157" style="position:absolute;left:9763;top:14903;width:2102;height:432;mso-position-horizontal-relative:page;mso-position-vertical:center;mso-position-vertical-relative:bottom-margin-area" o:allowincell="f" fillcolor="#943634 [2405]" stroked="f">
            <v:fill color2="#943634 [2405]"/>
            <v:textbox style="mso-next-textbox:#_x0000_s5157">
              <w:txbxContent>
                <w:p w:rsidR="007528FA" w:rsidRDefault="007528FA" w:rsidP="00B42367">
                  <w:pPr>
                    <w:pStyle w:val="Rodap"/>
                    <w:ind w:left="993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 xml:space="preserve"> </w:t>
                  </w:r>
                  <w:fldSimple w:instr=" PAGE   \* MERGEFORMAT ">
                    <w:r w:rsidR="00986EFC" w:rsidRPr="00986EFC">
                      <w:rPr>
                        <w:noProof/>
                        <w:color w:val="FFFFFF" w:themeColor="background1"/>
                      </w:rPr>
                      <w:t>2</w:t>
                    </w:r>
                  </w:fldSimple>
                </w:p>
              </w:txbxContent>
            </v:textbox>
          </v:rect>
          <v:rect id="_x0000_s5158" style="position:absolute;left:321;top:14850;width:11601;height:547;mso-width-percent:950;mso-position-horizontal:center;mso-position-horizontal-relative:page;mso-position-vertical:center;mso-position-vertical-relative:bottom-margin-area;mso-width-percent:950" o:allowincell="f" filled="f"/>
          <w10:wrap type="topAndBottom" anchorx="page"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8FA" w:rsidRDefault="007528FA" w:rsidP="00F57375">
    <w:pPr>
      <w:pStyle w:val="Rodap"/>
      <w:tabs>
        <w:tab w:val="clear" w:pos="4252"/>
        <w:tab w:val="center" w:pos="7938"/>
      </w:tabs>
    </w:pPr>
    <w:r>
      <w:t>AUDITORIA</w:t>
    </w:r>
    <w:r>
      <w:tab/>
    </w:r>
    <w:r w:rsidRPr="00F57375">
      <w:t>2011/2012</w:t>
    </w:r>
    <w:r>
      <w:tab/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016" w:rsidRDefault="00524016" w:rsidP="005B65E2">
      <w:pPr>
        <w:spacing w:after="0" w:line="240" w:lineRule="auto"/>
      </w:pPr>
      <w:r>
        <w:separator/>
      </w:r>
    </w:p>
  </w:footnote>
  <w:footnote w:type="continuationSeparator" w:id="0">
    <w:p w:rsidR="00524016" w:rsidRDefault="00524016" w:rsidP="005B65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9pt;height:9pt" o:bullet="t">
        <v:imagedata r:id="rId1" o:title="BD14868_"/>
      </v:shape>
    </w:pict>
  </w:numPicBullet>
  <w:abstractNum w:abstractNumId="0">
    <w:nsid w:val="1BAB3759"/>
    <w:multiLevelType w:val="hybridMultilevel"/>
    <w:tmpl w:val="9F062A2C"/>
    <w:lvl w:ilvl="0" w:tplc="ECDE8D3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D783615"/>
    <w:multiLevelType w:val="hybridMultilevel"/>
    <w:tmpl w:val="2534916C"/>
    <w:lvl w:ilvl="0" w:tplc="1CFC40F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E65E0"/>
    <w:multiLevelType w:val="hybridMultilevel"/>
    <w:tmpl w:val="1018AF5E"/>
    <w:lvl w:ilvl="0" w:tplc="CA36119C">
      <w:start w:val="1"/>
      <w:numFmt w:val="bullet"/>
      <w:lvlText w:val="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ED531AF"/>
    <w:multiLevelType w:val="hybridMultilevel"/>
    <w:tmpl w:val="4F200E38"/>
    <w:lvl w:ilvl="0" w:tplc="604CA4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8131B95"/>
    <w:multiLevelType w:val="hybridMultilevel"/>
    <w:tmpl w:val="9AD42AD4"/>
    <w:lvl w:ilvl="0" w:tplc="05A25E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9030A18"/>
    <w:multiLevelType w:val="hybridMultilevel"/>
    <w:tmpl w:val="1AF22798"/>
    <w:lvl w:ilvl="0" w:tplc="134A4154">
      <w:start w:val="1"/>
      <w:numFmt w:val="bullet"/>
      <w:lvlText w:val="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8160007">
      <w:start w:val="1"/>
      <w:numFmt w:val="bullet"/>
      <w:lvlText w:val=""/>
      <w:lvlPicBulletId w:val="0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2" w:tplc="08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40AA8"/>
    <w:multiLevelType w:val="hybridMultilevel"/>
    <w:tmpl w:val="F6F22DE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8371B9"/>
    <w:multiLevelType w:val="hybridMultilevel"/>
    <w:tmpl w:val="84C27438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472A8"/>
    <w:multiLevelType w:val="hybridMultilevel"/>
    <w:tmpl w:val="10EEB9BC"/>
    <w:lvl w:ilvl="0" w:tplc="BF5489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DE66904"/>
    <w:multiLevelType w:val="hybridMultilevel"/>
    <w:tmpl w:val="15EA360A"/>
    <w:lvl w:ilvl="0" w:tplc="CA36119C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9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6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</w:abstractNum>
  <w:abstractNum w:abstractNumId="10">
    <w:nsid w:val="79E75B42"/>
    <w:multiLevelType w:val="hybridMultilevel"/>
    <w:tmpl w:val="1338B65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6768B9"/>
    <w:multiLevelType w:val="hybridMultilevel"/>
    <w:tmpl w:val="97FC0C72"/>
    <w:lvl w:ilvl="0" w:tplc="CA36119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9F1407"/>
    <w:multiLevelType w:val="hybridMultilevel"/>
    <w:tmpl w:val="05DE6EA0"/>
    <w:lvl w:ilvl="0" w:tplc="EAAED6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FF23725"/>
    <w:multiLevelType w:val="hybridMultilevel"/>
    <w:tmpl w:val="02CC86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12"/>
  </w:num>
  <w:num w:numId="9">
    <w:abstractNumId w:val="3"/>
  </w:num>
  <w:num w:numId="10">
    <w:abstractNumId w:val="4"/>
  </w:num>
  <w:num w:numId="11">
    <w:abstractNumId w:val="8"/>
  </w:num>
  <w:num w:numId="12">
    <w:abstractNumId w:val="13"/>
  </w:num>
  <w:num w:numId="13">
    <w:abstractNumId w:val="0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60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D304EF"/>
    <w:rsid w:val="00007A1D"/>
    <w:rsid w:val="00015E73"/>
    <w:rsid w:val="00041EEC"/>
    <w:rsid w:val="00044766"/>
    <w:rsid w:val="000460C0"/>
    <w:rsid w:val="000554A2"/>
    <w:rsid w:val="00092144"/>
    <w:rsid w:val="000A4E83"/>
    <w:rsid w:val="000A658C"/>
    <w:rsid w:val="000C40B7"/>
    <w:rsid w:val="000E5EEE"/>
    <w:rsid w:val="00124E45"/>
    <w:rsid w:val="00186E85"/>
    <w:rsid w:val="00187345"/>
    <w:rsid w:val="0019283B"/>
    <w:rsid w:val="001C0CE8"/>
    <w:rsid w:val="001C2327"/>
    <w:rsid w:val="001D4D09"/>
    <w:rsid w:val="001E24BE"/>
    <w:rsid w:val="001E4EA4"/>
    <w:rsid w:val="001F736A"/>
    <w:rsid w:val="002523FA"/>
    <w:rsid w:val="00261264"/>
    <w:rsid w:val="00266DA3"/>
    <w:rsid w:val="0027466E"/>
    <w:rsid w:val="002934D9"/>
    <w:rsid w:val="002A0FB2"/>
    <w:rsid w:val="002A17C7"/>
    <w:rsid w:val="002B6F84"/>
    <w:rsid w:val="002C0E0A"/>
    <w:rsid w:val="002C0E18"/>
    <w:rsid w:val="002F0EDD"/>
    <w:rsid w:val="002F5701"/>
    <w:rsid w:val="00322D5D"/>
    <w:rsid w:val="00327257"/>
    <w:rsid w:val="003276CB"/>
    <w:rsid w:val="003411D0"/>
    <w:rsid w:val="003435DA"/>
    <w:rsid w:val="00355BB7"/>
    <w:rsid w:val="00381C99"/>
    <w:rsid w:val="003844C7"/>
    <w:rsid w:val="003878FD"/>
    <w:rsid w:val="003A0778"/>
    <w:rsid w:val="003A34BF"/>
    <w:rsid w:val="003D2F84"/>
    <w:rsid w:val="003D42C5"/>
    <w:rsid w:val="003D7E96"/>
    <w:rsid w:val="003F07DE"/>
    <w:rsid w:val="003F446C"/>
    <w:rsid w:val="00400DC0"/>
    <w:rsid w:val="00403A04"/>
    <w:rsid w:val="00422AF2"/>
    <w:rsid w:val="00423BDE"/>
    <w:rsid w:val="00434A7B"/>
    <w:rsid w:val="00436A11"/>
    <w:rsid w:val="00457512"/>
    <w:rsid w:val="00462BF7"/>
    <w:rsid w:val="00463734"/>
    <w:rsid w:val="00470AAE"/>
    <w:rsid w:val="004913EE"/>
    <w:rsid w:val="004C25CD"/>
    <w:rsid w:val="00506C5F"/>
    <w:rsid w:val="00516CCA"/>
    <w:rsid w:val="00524016"/>
    <w:rsid w:val="00526F80"/>
    <w:rsid w:val="00546103"/>
    <w:rsid w:val="00575609"/>
    <w:rsid w:val="00591060"/>
    <w:rsid w:val="00591516"/>
    <w:rsid w:val="00594CA6"/>
    <w:rsid w:val="005A2B6F"/>
    <w:rsid w:val="005B4F60"/>
    <w:rsid w:val="005B63C6"/>
    <w:rsid w:val="005B65E2"/>
    <w:rsid w:val="005D42C6"/>
    <w:rsid w:val="005D4960"/>
    <w:rsid w:val="005E054D"/>
    <w:rsid w:val="005E547B"/>
    <w:rsid w:val="005E7A8C"/>
    <w:rsid w:val="005F3C47"/>
    <w:rsid w:val="0061384B"/>
    <w:rsid w:val="00634ED5"/>
    <w:rsid w:val="00664174"/>
    <w:rsid w:val="00693F7A"/>
    <w:rsid w:val="006A1B17"/>
    <w:rsid w:val="006A1F4D"/>
    <w:rsid w:val="006B7077"/>
    <w:rsid w:val="006D167A"/>
    <w:rsid w:val="006D1BF1"/>
    <w:rsid w:val="006D21B0"/>
    <w:rsid w:val="006D5B56"/>
    <w:rsid w:val="006D61C1"/>
    <w:rsid w:val="006F1FC3"/>
    <w:rsid w:val="00702CC6"/>
    <w:rsid w:val="00703078"/>
    <w:rsid w:val="00727555"/>
    <w:rsid w:val="00740618"/>
    <w:rsid w:val="0074745F"/>
    <w:rsid w:val="00751907"/>
    <w:rsid w:val="00752044"/>
    <w:rsid w:val="007528FA"/>
    <w:rsid w:val="007544F7"/>
    <w:rsid w:val="00754ECC"/>
    <w:rsid w:val="00755016"/>
    <w:rsid w:val="0077513A"/>
    <w:rsid w:val="00777437"/>
    <w:rsid w:val="00794803"/>
    <w:rsid w:val="007A3913"/>
    <w:rsid w:val="007B6E3D"/>
    <w:rsid w:val="007C7679"/>
    <w:rsid w:val="007D73D0"/>
    <w:rsid w:val="007E0D53"/>
    <w:rsid w:val="007E314E"/>
    <w:rsid w:val="007E3365"/>
    <w:rsid w:val="007E4E4F"/>
    <w:rsid w:val="007F0A31"/>
    <w:rsid w:val="0082364B"/>
    <w:rsid w:val="00825681"/>
    <w:rsid w:val="008427C9"/>
    <w:rsid w:val="00850E5F"/>
    <w:rsid w:val="008549FE"/>
    <w:rsid w:val="00861FE3"/>
    <w:rsid w:val="008706A5"/>
    <w:rsid w:val="00871031"/>
    <w:rsid w:val="00871F74"/>
    <w:rsid w:val="008832E7"/>
    <w:rsid w:val="00891B86"/>
    <w:rsid w:val="008B1685"/>
    <w:rsid w:val="008C1429"/>
    <w:rsid w:val="008C4A13"/>
    <w:rsid w:val="008E1F4F"/>
    <w:rsid w:val="008E2183"/>
    <w:rsid w:val="008F02EB"/>
    <w:rsid w:val="008F3F69"/>
    <w:rsid w:val="00904D96"/>
    <w:rsid w:val="00907324"/>
    <w:rsid w:val="00911BA9"/>
    <w:rsid w:val="00924675"/>
    <w:rsid w:val="00950B56"/>
    <w:rsid w:val="00955AE3"/>
    <w:rsid w:val="00960C39"/>
    <w:rsid w:val="00966AF5"/>
    <w:rsid w:val="00967F10"/>
    <w:rsid w:val="00971D0F"/>
    <w:rsid w:val="00976CE3"/>
    <w:rsid w:val="00986EFC"/>
    <w:rsid w:val="00992269"/>
    <w:rsid w:val="009A15E9"/>
    <w:rsid w:val="009C1AD1"/>
    <w:rsid w:val="009C1D8A"/>
    <w:rsid w:val="009E0914"/>
    <w:rsid w:val="00A02329"/>
    <w:rsid w:val="00A1417F"/>
    <w:rsid w:val="00A1518C"/>
    <w:rsid w:val="00A161CB"/>
    <w:rsid w:val="00A25BF4"/>
    <w:rsid w:val="00A36722"/>
    <w:rsid w:val="00A41E43"/>
    <w:rsid w:val="00A46EEC"/>
    <w:rsid w:val="00A55AA8"/>
    <w:rsid w:val="00A726F5"/>
    <w:rsid w:val="00A72D82"/>
    <w:rsid w:val="00A72E67"/>
    <w:rsid w:val="00A77AC4"/>
    <w:rsid w:val="00AB2673"/>
    <w:rsid w:val="00AB5BA3"/>
    <w:rsid w:val="00AC72B6"/>
    <w:rsid w:val="00AD18CB"/>
    <w:rsid w:val="00AF4BAE"/>
    <w:rsid w:val="00AF50EF"/>
    <w:rsid w:val="00B04124"/>
    <w:rsid w:val="00B1189E"/>
    <w:rsid w:val="00B23901"/>
    <w:rsid w:val="00B2799D"/>
    <w:rsid w:val="00B34E47"/>
    <w:rsid w:val="00B42367"/>
    <w:rsid w:val="00B42506"/>
    <w:rsid w:val="00B50CEB"/>
    <w:rsid w:val="00B8653F"/>
    <w:rsid w:val="00B94389"/>
    <w:rsid w:val="00BD507D"/>
    <w:rsid w:val="00BD692A"/>
    <w:rsid w:val="00BE0517"/>
    <w:rsid w:val="00BE6121"/>
    <w:rsid w:val="00BF2EE1"/>
    <w:rsid w:val="00C12B31"/>
    <w:rsid w:val="00C15EBF"/>
    <w:rsid w:val="00C209CA"/>
    <w:rsid w:val="00C22760"/>
    <w:rsid w:val="00C30F6D"/>
    <w:rsid w:val="00C3481C"/>
    <w:rsid w:val="00C42E37"/>
    <w:rsid w:val="00C45F53"/>
    <w:rsid w:val="00C60055"/>
    <w:rsid w:val="00C77BEC"/>
    <w:rsid w:val="00C84F92"/>
    <w:rsid w:val="00CB04FB"/>
    <w:rsid w:val="00CB65C9"/>
    <w:rsid w:val="00CD1D2B"/>
    <w:rsid w:val="00CD6613"/>
    <w:rsid w:val="00CE655D"/>
    <w:rsid w:val="00CE6820"/>
    <w:rsid w:val="00CE765E"/>
    <w:rsid w:val="00CF08C1"/>
    <w:rsid w:val="00CF4E9E"/>
    <w:rsid w:val="00D12727"/>
    <w:rsid w:val="00D16C1E"/>
    <w:rsid w:val="00D21F1F"/>
    <w:rsid w:val="00D304EF"/>
    <w:rsid w:val="00D32006"/>
    <w:rsid w:val="00D52FF6"/>
    <w:rsid w:val="00D70B0E"/>
    <w:rsid w:val="00D74761"/>
    <w:rsid w:val="00D95EA7"/>
    <w:rsid w:val="00DA49D9"/>
    <w:rsid w:val="00DA5E83"/>
    <w:rsid w:val="00DB74C8"/>
    <w:rsid w:val="00DD59C2"/>
    <w:rsid w:val="00E0790B"/>
    <w:rsid w:val="00E26F19"/>
    <w:rsid w:val="00E54E5E"/>
    <w:rsid w:val="00E5749E"/>
    <w:rsid w:val="00E612B5"/>
    <w:rsid w:val="00E64FF9"/>
    <w:rsid w:val="00E665CA"/>
    <w:rsid w:val="00E84C69"/>
    <w:rsid w:val="00E9639B"/>
    <w:rsid w:val="00EB065B"/>
    <w:rsid w:val="00EE5DD3"/>
    <w:rsid w:val="00F014AC"/>
    <w:rsid w:val="00F019A9"/>
    <w:rsid w:val="00F031ED"/>
    <w:rsid w:val="00F101C5"/>
    <w:rsid w:val="00F107BA"/>
    <w:rsid w:val="00F22C53"/>
    <w:rsid w:val="00F45737"/>
    <w:rsid w:val="00F51B71"/>
    <w:rsid w:val="00F53FE2"/>
    <w:rsid w:val="00F57375"/>
    <w:rsid w:val="00F64D39"/>
    <w:rsid w:val="00FA5492"/>
    <w:rsid w:val="00FB3258"/>
    <w:rsid w:val="00FB5318"/>
    <w:rsid w:val="00FB721C"/>
    <w:rsid w:val="00FC482C"/>
    <w:rsid w:val="00FD3EEB"/>
    <w:rsid w:val="00FD4C69"/>
    <w:rsid w:val="00FE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673"/>
  </w:style>
  <w:style w:type="paragraph" w:styleId="Ttulo1">
    <w:name w:val="heading 1"/>
    <w:basedOn w:val="Normal"/>
    <w:next w:val="Normal"/>
    <w:link w:val="Ttulo1Carcter"/>
    <w:uiPriority w:val="9"/>
    <w:qFormat/>
    <w:rsid w:val="00986EFC"/>
    <w:pPr>
      <w:keepNext/>
      <w:keepLines/>
      <w:spacing w:before="480" w:after="0" w:line="360" w:lineRule="auto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304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belanormal"/>
    <w:uiPriority w:val="60"/>
    <w:rsid w:val="00AD18C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debalo">
    <w:name w:val="Balloon Text"/>
    <w:basedOn w:val="Normal"/>
    <w:link w:val="TextodebaloCarcter"/>
    <w:uiPriority w:val="99"/>
    <w:semiHidden/>
    <w:unhideWhenUsed/>
    <w:rsid w:val="00AD1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D18CB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arcter"/>
    <w:uiPriority w:val="99"/>
    <w:semiHidden/>
    <w:unhideWhenUsed/>
    <w:rsid w:val="0059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uiPriority w:val="99"/>
    <w:semiHidden/>
    <w:rsid w:val="0059151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5B65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B65E2"/>
  </w:style>
  <w:style w:type="paragraph" w:styleId="Rodap">
    <w:name w:val="footer"/>
    <w:basedOn w:val="Normal"/>
    <w:link w:val="RodapCarcter"/>
    <w:uiPriority w:val="99"/>
    <w:unhideWhenUsed/>
    <w:rsid w:val="005B65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B65E2"/>
  </w:style>
  <w:style w:type="paragraph" w:customStyle="1" w:styleId="3604502AFB4B48E7B6BC37473130F84B">
    <w:name w:val="3604502AFB4B48E7B6BC37473130F84B"/>
    <w:rsid w:val="005B65E2"/>
    <w:rPr>
      <w:rFonts w:eastAsiaTheme="minorEastAsia"/>
      <w:lang w:val="en-US"/>
    </w:rPr>
  </w:style>
  <w:style w:type="paragraph" w:styleId="PargrafodaLista">
    <w:name w:val="List Paragraph"/>
    <w:basedOn w:val="Normal"/>
    <w:uiPriority w:val="34"/>
    <w:qFormat/>
    <w:rsid w:val="00A726F5"/>
    <w:pPr>
      <w:ind w:left="720"/>
      <w:contextualSpacing/>
    </w:pPr>
  </w:style>
  <w:style w:type="paragraph" w:customStyle="1" w:styleId="Default">
    <w:name w:val="Default"/>
    <w:rsid w:val="00BD692A"/>
    <w:pPr>
      <w:autoSpaceDE w:val="0"/>
      <w:autoSpaceDN w:val="0"/>
      <w:adjustRightInd w:val="0"/>
      <w:spacing w:after="0" w:line="240" w:lineRule="auto"/>
    </w:pPr>
    <w:rPr>
      <w:rFonts w:ascii="Optima" w:hAnsi="Optima" w:cs="Optima"/>
      <w:color w:val="000000"/>
      <w:sz w:val="24"/>
      <w:szCs w:val="24"/>
    </w:rPr>
  </w:style>
  <w:style w:type="character" w:styleId="Hiperligao">
    <w:name w:val="Hyperlink"/>
    <w:basedOn w:val="Tipodeletrapredefinidodopargrafo"/>
    <w:uiPriority w:val="99"/>
    <w:unhideWhenUsed/>
    <w:rsid w:val="004913EE"/>
    <w:rPr>
      <w:color w:val="0000FF" w:themeColor="hyperlink"/>
      <w:u w:val="single"/>
    </w:rPr>
  </w:style>
  <w:style w:type="paragraph" w:customStyle="1" w:styleId="Pa11">
    <w:name w:val="Pa1+1"/>
    <w:basedOn w:val="Default"/>
    <w:next w:val="Default"/>
    <w:uiPriority w:val="99"/>
    <w:rsid w:val="004913EE"/>
    <w:pPr>
      <w:spacing w:line="241" w:lineRule="atLeast"/>
    </w:pPr>
    <w:rPr>
      <w:rFonts w:cstheme="minorBidi"/>
      <w:color w:val="auto"/>
    </w:rPr>
  </w:style>
  <w:style w:type="paragraph" w:customStyle="1" w:styleId="Pa41">
    <w:name w:val="Pa4+1"/>
    <w:basedOn w:val="Default"/>
    <w:next w:val="Default"/>
    <w:uiPriority w:val="99"/>
    <w:rsid w:val="006D167A"/>
    <w:pPr>
      <w:spacing w:line="161" w:lineRule="atLeast"/>
    </w:pPr>
    <w:rPr>
      <w:rFonts w:ascii="AKHFK F+ Optima" w:hAnsi="AKHFK F+ Optima" w:cstheme="minorBidi"/>
      <w:color w:val="auto"/>
    </w:rPr>
  </w:style>
  <w:style w:type="paragraph" w:customStyle="1" w:styleId="Pa31">
    <w:name w:val="Pa3+1"/>
    <w:basedOn w:val="Default"/>
    <w:next w:val="Default"/>
    <w:uiPriority w:val="99"/>
    <w:rsid w:val="006D167A"/>
    <w:pPr>
      <w:spacing w:line="161" w:lineRule="atLeast"/>
    </w:pPr>
    <w:rPr>
      <w:rFonts w:ascii="AKHGI E+ Calibri" w:hAnsi="AKHGI E+ Calibri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6D167A"/>
    <w:pPr>
      <w:spacing w:line="201" w:lineRule="atLeast"/>
    </w:pPr>
    <w:rPr>
      <w:rFonts w:ascii="AKHFK F+ Optima" w:hAnsi="AKHFK F+ Optima" w:cstheme="minorBidi"/>
      <w:color w:val="auto"/>
    </w:rPr>
  </w:style>
  <w:style w:type="character" w:customStyle="1" w:styleId="A51">
    <w:name w:val="A5+1"/>
    <w:uiPriority w:val="99"/>
    <w:rsid w:val="006D167A"/>
    <w:rPr>
      <w:rFonts w:ascii="Optima" w:hAnsi="Optima" w:cs="Optima"/>
      <w:color w:val="000000"/>
      <w:sz w:val="11"/>
      <w:szCs w:val="11"/>
    </w:rPr>
  </w:style>
  <w:style w:type="paragraph" w:customStyle="1" w:styleId="Pa10">
    <w:name w:val="Pa10"/>
    <w:basedOn w:val="Default"/>
    <w:next w:val="Default"/>
    <w:uiPriority w:val="99"/>
    <w:rsid w:val="003276CB"/>
    <w:pPr>
      <w:spacing w:line="201" w:lineRule="atLeast"/>
    </w:pPr>
    <w:rPr>
      <w:rFonts w:cstheme="minorBidi"/>
      <w:color w:val="auto"/>
    </w:rPr>
  </w:style>
  <w:style w:type="paragraph" w:customStyle="1" w:styleId="Pa51">
    <w:name w:val="Pa5+1"/>
    <w:basedOn w:val="Default"/>
    <w:next w:val="Default"/>
    <w:uiPriority w:val="99"/>
    <w:rsid w:val="00B94389"/>
    <w:pPr>
      <w:spacing w:line="20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B94389"/>
    <w:rPr>
      <w:rFonts w:cs="Optima"/>
      <w:color w:val="008DA9"/>
      <w:sz w:val="16"/>
      <w:szCs w:val="16"/>
    </w:rPr>
  </w:style>
  <w:style w:type="paragraph" w:customStyle="1" w:styleId="StyleHeading211ptBefore24ptLinespacing15lines">
    <w:name w:val="Style Heading 2 + 11 pt Before:  24 pt Line spacing:  1.5 lines"/>
    <w:basedOn w:val="Normal"/>
    <w:rsid w:val="00DD59C2"/>
    <w:pPr>
      <w:tabs>
        <w:tab w:val="num" w:pos="600"/>
      </w:tabs>
      <w:spacing w:after="0" w:line="240" w:lineRule="auto"/>
      <w:ind w:left="600" w:hanging="360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">
    <w:name w:val="Body Text"/>
    <w:basedOn w:val="Normal"/>
    <w:link w:val="CorpodetextoCarcter"/>
    <w:rsid w:val="002F5701"/>
    <w:pPr>
      <w:spacing w:after="120" w:line="240" w:lineRule="auto"/>
    </w:pPr>
    <w:rPr>
      <w:rFonts w:ascii="DIN-Regular" w:eastAsia="Times New Roman" w:hAnsi="DIN-Regular" w:cs="Times New Roman"/>
      <w:sz w:val="20"/>
      <w:szCs w:val="20"/>
      <w:lang w:val="fr-FR" w:eastAsia="fr-FR"/>
    </w:rPr>
  </w:style>
  <w:style w:type="character" w:customStyle="1" w:styleId="CorpodetextoCarcter">
    <w:name w:val="Corpo de texto Carácter"/>
    <w:basedOn w:val="Tipodeletrapredefinidodopargrafo"/>
    <w:link w:val="Corpodetexto"/>
    <w:rsid w:val="002F5701"/>
    <w:rPr>
      <w:rFonts w:ascii="DIN-Regular" w:eastAsia="Times New Roman" w:hAnsi="DIN-Regular" w:cs="Times New Roman"/>
      <w:sz w:val="20"/>
      <w:szCs w:val="20"/>
      <w:lang w:val="fr-FR" w:eastAsia="fr-FR"/>
    </w:rPr>
  </w:style>
  <w:style w:type="character" w:styleId="Refdenotaderodap">
    <w:name w:val="footnote reference"/>
    <w:basedOn w:val="Tipodeletrapredefinidodopargrafo"/>
    <w:uiPriority w:val="99"/>
    <w:semiHidden/>
    <w:rsid w:val="002F570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F0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8F02EB"/>
    <w:rPr>
      <w:b/>
      <w:bCs/>
    </w:rPr>
  </w:style>
  <w:style w:type="table" w:styleId="SombreadoClaro-Cor2">
    <w:name w:val="Light Shading Accent 2"/>
    <w:basedOn w:val="Tabelanormal"/>
    <w:uiPriority w:val="60"/>
    <w:rsid w:val="00EB065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Ttulo1Carcter">
    <w:name w:val="Título 1 Carácter"/>
    <w:basedOn w:val="Tipodeletrapredefinidodopargrafo"/>
    <w:link w:val="Ttulo1"/>
    <w:uiPriority w:val="9"/>
    <w:rsid w:val="00986EFC"/>
    <w:rPr>
      <w:rFonts w:ascii="Arial" w:eastAsiaTheme="majorEastAsia" w:hAnsi="Arial" w:cstheme="majorBidi"/>
      <w:b/>
      <w:bCs/>
      <w:sz w:val="24"/>
      <w:szCs w:val="28"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986EFC"/>
    <w:pPr>
      <w:spacing w:line="276" w:lineRule="auto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ndice1">
    <w:name w:val="toc 1"/>
    <w:basedOn w:val="Normal"/>
    <w:next w:val="Normal"/>
    <w:autoRedefine/>
    <w:uiPriority w:val="39"/>
    <w:unhideWhenUsed/>
    <w:rsid w:val="00986EFC"/>
    <w:pPr>
      <w:tabs>
        <w:tab w:val="left" w:pos="440"/>
        <w:tab w:val="right" w:leader="dot" w:pos="9628"/>
      </w:tabs>
      <w:spacing w:after="100"/>
    </w:pPr>
    <w:rPr>
      <w:rFonts w:ascii="Arial" w:hAnsi="Arial" w:cs="Arial"/>
      <w:noProof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0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86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8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0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13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12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7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0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45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diagramLayout" Target="diagrams/layout2.xml"/><Relationship Id="rId26" Type="http://schemas.openxmlformats.org/officeDocument/2006/relationships/hyperlink" Target="http://www.cnc.min-financas.pt/SNC_projecto/DL_SNC_anexo.pdf" TargetMode="External"/><Relationship Id="rId3" Type="http://schemas.openxmlformats.org/officeDocument/2006/relationships/numbering" Target="numbering.xml"/><Relationship Id="rId21" Type="http://schemas.microsoft.com/office/2007/relationships/diagramDrawing" Target="diagrams/drawing2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diagramData" Target="diagrams/data2.xml"/><Relationship Id="rId25" Type="http://schemas.openxmlformats.org/officeDocument/2006/relationships/hyperlink" Target="http://www.cnc.min-financas.pt/0_new_site/FAQs/sitecnc_faqs.htm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diagramColors" Target="diagrams/colors2.xml"/><Relationship Id="rId29" Type="http://schemas.openxmlformats.org/officeDocument/2006/relationships/hyperlink" Target="http://www.cnc.min-financas.pt/0_new_site/docs_originais/Microentidades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hyperlink" Target="http://www.cnc.min-financas.pt/0_new_site/SNC/sitecnc_SNC.htm" TargetMode="Externa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yperlink" Target="http://www.cnc.min-financas.pt/0_new_site/NCM/Portaria_107_2011_14Mar.pdf" TargetMode="External"/><Relationship Id="rId28" Type="http://schemas.openxmlformats.org/officeDocument/2006/relationships/hyperlink" Target="http://www.aiminho.pt/imgAll/file/Outros/SNC_AIM_Joaquim_Guimaraes.pdf" TargetMode="External"/><Relationship Id="rId10" Type="http://schemas.openxmlformats.org/officeDocument/2006/relationships/diagramData" Target="diagrams/data1.xml"/><Relationship Id="rId19" Type="http://schemas.openxmlformats.org/officeDocument/2006/relationships/diagramQuickStyle" Target="diagrams/quickStyle2.xml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hyperlink" Target="http://www.cnc.min-financas.pt/0_new_site/NCM/Portaria_104_2011_14Mar.pdf" TargetMode="External"/><Relationship Id="rId27" Type="http://schemas.openxmlformats.org/officeDocument/2006/relationships/hyperlink" Target="http://www.cnc.min-financas.pt/SNC_projecto/DL_SNC_anexo.pdf" TargetMode="External"/><Relationship Id="rId30" Type="http://schemas.openxmlformats.org/officeDocument/2006/relationships/hyperlink" Target="http://www.cnc.min-financas.pt/0_new_site/NCM/sitecnc_NCM.ht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5">
  <dgm:title val=""/>
  <dgm:desc val=""/>
  <dgm:catLst>
    <dgm:cat type="accent2" pri="11500"/>
  </dgm:catLst>
  <dgm:styleLbl name="node0">
    <dgm:fillClrLst meth="cycle">
      <a:schemeClr val="accent2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alpha val="90000"/>
      </a:schemeClr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alpha val="90000"/>
      </a:schemeClr>
      <a:schemeClr val="accent2">
        <a:alpha val="5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/>
    <dgm:txEffectClrLst/>
  </dgm:styleLbl>
  <dgm:styleLbl name="lnNode1">
    <dgm:fillClrLst>
      <a:schemeClr val="accent2">
        <a:shade val="90000"/>
      </a:schemeClr>
      <a:schemeClr val="accent2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alpha val="2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  <a:alpha val="90000"/>
      </a:schemeClr>
      <a:schemeClr val="accent2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alpha val="90000"/>
        <a:tint val="40000"/>
      </a:schemeClr>
      <a:schemeClr val="accent2">
        <a:alpha val="5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97CC01-0169-469C-9186-9E1E168A21E4}" type="doc">
      <dgm:prSet loTypeId="urn:microsoft.com/office/officeart/2005/8/layout/orgChart1" loCatId="hierarchy" qsTypeId="urn:microsoft.com/office/officeart/2005/8/quickstyle/simple1" qsCatId="simple" csTypeId="urn:microsoft.com/office/officeart/2005/8/colors/accent2_5" csCatId="accent2" phldr="1"/>
      <dgm:spPr/>
      <dgm:t>
        <a:bodyPr/>
        <a:lstStyle/>
        <a:p>
          <a:endParaRPr lang="pt-PT"/>
        </a:p>
      </dgm:t>
    </dgm:pt>
    <dgm:pt modelId="{B9D1152A-B381-4F74-AA61-1EEF55D0CAAA}">
      <dgm:prSet phldrT="[Texto]" custT="1"/>
      <dgm:spPr/>
      <dgm:t>
        <a:bodyPr/>
        <a:lstStyle/>
        <a:p>
          <a:r>
            <a:rPr lang="pt-PT" sz="1000">
              <a:latin typeface="Arial" pitchFamily="34" charset="0"/>
              <a:cs typeface="Arial" pitchFamily="34" charset="0"/>
            </a:rPr>
            <a:t>Decreto-Lei 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n.º 158/2009</a:t>
          </a:r>
        </a:p>
      </dgm:t>
    </dgm:pt>
    <dgm:pt modelId="{26B9FAFE-BC75-4197-8FF8-44DAD04623EF}" type="parTrans" cxnId="{43198743-7416-41BB-AA19-647938CBC36A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F466B17E-EC8C-4C52-9215-0127BBC296F9}" type="sibTrans" cxnId="{43198743-7416-41BB-AA19-647938CBC36A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6756F205-5D90-4EC8-9A6C-977A60D8BCE3}">
      <dgm:prSet phldrT="[Texto]" custT="1"/>
      <dgm:spPr/>
      <dgm:t>
        <a:bodyPr/>
        <a:lstStyle/>
        <a:p>
          <a:r>
            <a:rPr lang="pt-PT" sz="1000">
              <a:latin typeface="Arial" pitchFamily="34" charset="0"/>
              <a:cs typeface="Arial" pitchFamily="34" charset="0"/>
            </a:rPr>
            <a:t>GERAL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Aplicável à generalidade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das entidades que não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aplicam as NIC/NIRF e às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entidades abrangidas pela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NCRF-PE ou pela NCM que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optem por não as aplicar</a:t>
          </a:r>
        </a:p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EE156FFF-D1A5-4B51-B1E5-0CB7A9CEACD7}" type="parTrans" cxnId="{D7AB33C3-B30B-4D29-B027-F4F05BF89E9E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56265B34-6B8D-4330-9CAA-72F344BE44B9}" type="sibTrans" cxnId="{D7AB33C3-B30B-4D29-B027-F4F05BF89E9E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32BF0BEA-9B95-4EE3-B7DC-7386B709F0B0}">
      <dgm:prSet phldrT="[Texto]" custT="1"/>
      <dgm:spPr/>
      <dgm:t>
        <a:bodyPr/>
        <a:lstStyle/>
        <a:p>
          <a:r>
            <a:rPr lang="pt-PT" sz="1000">
              <a:latin typeface="Arial" pitchFamily="34" charset="0"/>
              <a:cs typeface="Arial" pitchFamily="34" charset="0"/>
            </a:rPr>
            <a:t>PEQUENAS ENTIDADES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Alterado pela Lei n.º 20/2010, de 23 de Agosto</a:t>
          </a:r>
        </a:p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C58028A1-7065-4BE6-897B-740C0DC9E948}" type="parTrans" cxnId="{3C8FD69D-89E7-45C2-99AA-0A5E0C8B8000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AEF3A2A6-A01C-4F0A-BF0C-C79E3CB35614}" type="sibTrans" cxnId="{3C8FD69D-89E7-45C2-99AA-0A5E0C8B8000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B88C88AF-FD02-45ED-9534-5E6A777B95EC}">
      <dgm:prSet phldrT="[Texto]" custT="1"/>
      <dgm:spPr/>
      <dgm:t>
        <a:bodyPr/>
        <a:lstStyle/>
        <a:p>
          <a:r>
            <a:rPr lang="pt-PT" sz="1000">
              <a:latin typeface="Arial" pitchFamily="34" charset="0"/>
              <a:cs typeface="Arial" pitchFamily="34" charset="0"/>
            </a:rPr>
            <a:t>MICROENTIDADES</a:t>
          </a:r>
        </a:p>
        <a:p>
          <a:r>
            <a:rPr lang="pt-PT" sz="1000">
              <a:latin typeface="Arial" pitchFamily="34" charset="0"/>
              <a:cs typeface="Arial" pitchFamily="34" charset="0"/>
            </a:rPr>
            <a:t>Decreto-Lei n.º 35/2010, de 2 de Setembro</a:t>
          </a:r>
        </a:p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E9DB7704-97C1-47B8-9637-BF8637E0F099}" type="parTrans" cxnId="{532483E3-7C1A-43F4-B0BA-B276B1357674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7255A61B-CCA6-4675-9456-92BEDAEFE05E}" type="sibTrans" cxnId="{532483E3-7C1A-43F4-B0BA-B276B1357674}">
      <dgm:prSet/>
      <dgm:spPr/>
      <dgm:t>
        <a:bodyPr/>
        <a:lstStyle/>
        <a:p>
          <a:endParaRPr lang="pt-PT" sz="1000">
            <a:latin typeface="Arial" pitchFamily="34" charset="0"/>
            <a:cs typeface="Arial" pitchFamily="34" charset="0"/>
          </a:endParaRPr>
        </a:p>
      </dgm:t>
    </dgm:pt>
    <dgm:pt modelId="{9046BA38-42A2-4ECD-A80E-ABD76ED7188A}" type="pres">
      <dgm:prSet presAssocID="{9797CC01-0169-469C-9186-9E1E168A21E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t-PT"/>
        </a:p>
      </dgm:t>
    </dgm:pt>
    <dgm:pt modelId="{0FA5F7C7-EE05-4630-B5AB-BE696827475C}" type="pres">
      <dgm:prSet presAssocID="{B9D1152A-B381-4F74-AA61-1EEF55D0CAAA}" presName="hierRoot1" presStyleCnt="0">
        <dgm:presLayoutVars>
          <dgm:hierBranch val="init"/>
        </dgm:presLayoutVars>
      </dgm:prSet>
      <dgm:spPr/>
    </dgm:pt>
    <dgm:pt modelId="{344BF595-DA8B-4CC9-930E-0E32CC25B838}" type="pres">
      <dgm:prSet presAssocID="{B9D1152A-B381-4F74-AA61-1EEF55D0CAAA}" presName="rootComposite1" presStyleCnt="0"/>
      <dgm:spPr/>
    </dgm:pt>
    <dgm:pt modelId="{9538B5B8-8A8F-4BD7-B637-756D5AEE2DAA}" type="pres">
      <dgm:prSet presAssocID="{B9D1152A-B381-4F74-AA61-1EEF55D0CAAA}" presName="rootText1" presStyleLbl="node0" presStyleIdx="0" presStyleCnt="1" custScaleX="124882" custScaleY="71312" custLinFactNeighborY="11160">
        <dgm:presLayoutVars>
          <dgm:chPref val="3"/>
        </dgm:presLayoutVars>
      </dgm:prSet>
      <dgm:spPr/>
      <dgm:t>
        <a:bodyPr/>
        <a:lstStyle/>
        <a:p>
          <a:endParaRPr lang="pt-PT"/>
        </a:p>
      </dgm:t>
    </dgm:pt>
    <dgm:pt modelId="{6C360A3E-0FDB-4DF5-AD0F-F3B63090497E}" type="pres">
      <dgm:prSet presAssocID="{B9D1152A-B381-4F74-AA61-1EEF55D0CAAA}" presName="rootConnector1" presStyleLbl="node1" presStyleIdx="0" presStyleCnt="0"/>
      <dgm:spPr/>
      <dgm:t>
        <a:bodyPr/>
        <a:lstStyle/>
        <a:p>
          <a:endParaRPr lang="pt-PT"/>
        </a:p>
      </dgm:t>
    </dgm:pt>
    <dgm:pt modelId="{85733268-8903-4022-949C-9C4A1C3B9F97}" type="pres">
      <dgm:prSet presAssocID="{B9D1152A-B381-4F74-AA61-1EEF55D0CAAA}" presName="hierChild2" presStyleCnt="0"/>
      <dgm:spPr/>
    </dgm:pt>
    <dgm:pt modelId="{59EAB769-A3FB-4F6B-A723-207BCF5BB376}" type="pres">
      <dgm:prSet presAssocID="{EE156FFF-D1A5-4B51-B1E5-0CB7A9CEACD7}" presName="Name37" presStyleLbl="parChTrans1D2" presStyleIdx="0" presStyleCnt="3"/>
      <dgm:spPr/>
      <dgm:t>
        <a:bodyPr/>
        <a:lstStyle/>
        <a:p>
          <a:endParaRPr lang="pt-PT"/>
        </a:p>
      </dgm:t>
    </dgm:pt>
    <dgm:pt modelId="{16AFD001-CE14-4B40-A733-86DC766B8AD9}" type="pres">
      <dgm:prSet presAssocID="{6756F205-5D90-4EC8-9A6C-977A60D8BCE3}" presName="hierRoot2" presStyleCnt="0">
        <dgm:presLayoutVars>
          <dgm:hierBranch val="init"/>
        </dgm:presLayoutVars>
      </dgm:prSet>
      <dgm:spPr/>
    </dgm:pt>
    <dgm:pt modelId="{37958487-D7AF-44FF-A649-CC45E817B5BB}" type="pres">
      <dgm:prSet presAssocID="{6756F205-5D90-4EC8-9A6C-977A60D8BCE3}" presName="rootComposite" presStyleCnt="0"/>
      <dgm:spPr/>
    </dgm:pt>
    <dgm:pt modelId="{4C0241CE-ADD5-42F4-9586-080456FBE28F}" type="pres">
      <dgm:prSet presAssocID="{6756F205-5D90-4EC8-9A6C-977A60D8BCE3}" presName="rootText" presStyleLbl="node2" presStyleIdx="0" presStyleCnt="3" custScaleY="191872">
        <dgm:presLayoutVars>
          <dgm:chPref val="3"/>
        </dgm:presLayoutVars>
      </dgm:prSet>
      <dgm:spPr/>
      <dgm:t>
        <a:bodyPr/>
        <a:lstStyle/>
        <a:p>
          <a:endParaRPr lang="pt-PT"/>
        </a:p>
      </dgm:t>
    </dgm:pt>
    <dgm:pt modelId="{63ECEA70-AD0F-406A-8B23-C9E810D52277}" type="pres">
      <dgm:prSet presAssocID="{6756F205-5D90-4EC8-9A6C-977A60D8BCE3}" presName="rootConnector" presStyleLbl="node2" presStyleIdx="0" presStyleCnt="3"/>
      <dgm:spPr/>
      <dgm:t>
        <a:bodyPr/>
        <a:lstStyle/>
        <a:p>
          <a:endParaRPr lang="pt-PT"/>
        </a:p>
      </dgm:t>
    </dgm:pt>
    <dgm:pt modelId="{948CF58E-42C1-4078-9077-6FB46A0AECED}" type="pres">
      <dgm:prSet presAssocID="{6756F205-5D90-4EC8-9A6C-977A60D8BCE3}" presName="hierChild4" presStyleCnt="0"/>
      <dgm:spPr/>
    </dgm:pt>
    <dgm:pt modelId="{89B93E35-1B5F-45BE-99BB-1742D3D5D2E8}" type="pres">
      <dgm:prSet presAssocID="{6756F205-5D90-4EC8-9A6C-977A60D8BCE3}" presName="hierChild5" presStyleCnt="0"/>
      <dgm:spPr/>
    </dgm:pt>
    <dgm:pt modelId="{47C03F82-A03E-4B8C-967D-43F667ADEC9E}" type="pres">
      <dgm:prSet presAssocID="{C58028A1-7065-4BE6-897B-740C0DC9E948}" presName="Name37" presStyleLbl="parChTrans1D2" presStyleIdx="1" presStyleCnt="3"/>
      <dgm:spPr/>
      <dgm:t>
        <a:bodyPr/>
        <a:lstStyle/>
        <a:p>
          <a:endParaRPr lang="pt-PT"/>
        </a:p>
      </dgm:t>
    </dgm:pt>
    <dgm:pt modelId="{D2DA3D86-0EC6-4560-B93F-7416B56F46F5}" type="pres">
      <dgm:prSet presAssocID="{32BF0BEA-9B95-4EE3-B7DC-7386B709F0B0}" presName="hierRoot2" presStyleCnt="0">
        <dgm:presLayoutVars>
          <dgm:hierBranch val="init"/>
        </dgm:presLayoutVars>
      </dgm:prSet>
      <dgm:spPr/>
    </dgm:pt>
    <dgm:pt modelId="{E2336C88-EFB4-442F-8C2B-03E47C9FF715}" type="pres">
      <dgm:prSet presAssocID="{32BF0BEA-9B95-4EE3-B7DC-7386B709F0B0}" presName="rootComposite" presStyleCnt="0"/>
      <dgm:spPr/>
    </dgm:pt>
    <dgm:pt modelId="{D2C426BA-446A-46E8-AE5E-DA2024290C9F}" type="pres">
      <dgm:prSet presAssocID="{32BF0BEA-9B95-4EE3-B7DC-7386B709F0B0}" presName="rootText" presStyleLbl="node2" presStyleIdx="1" presStyleCnt="3" custScaleY="88083" custLinFactNeighborY="-744">
        <dgm:presLayoutVars>
          <dgm:chPref val="3"/>
        </dgm:presLayoutVars>
      </dgm:prSet>
      <dgm:spPr/>
      <dgm:t>
        <a:bodyPr/>
        <a:lstStyle/>
        <a:p>
          <a:endParaRPr lang="pt-PT"/>
        </a:p>
      </dgm:t>
    </dgm:pt>
    <dgm:pt modelId="{CD426C75-FEE8-48EE-A3B0-5E5B78B92C13}" type="pres">
      <dgm:prSet presAssocID="{32BF0BEA-9B95-4EE3-B7DC-7386B709F0B0}" presName="rootConnector" presStyleLbl="node2" presStyleIdx="1" presStyleCnt="3"/>
      <dgm:spPr/>
      <dgm:t>
        <a:bodyPr/>
        <a:lstStyle/>
        <a:p>
          <a:endParaRPr lang="pt-PT"/>
        </a:p>
      </dgm:t>
    </dgm:pt>
    <dgm:pt modelId="{9A17A240-3A29-4EB0-8BBA-B42FA1DFAFC7}" type="pres">
      <dgm:prSet presAssocID="{32BF0BEA-9B95-4EE3-B7DC-7386B709F0B0}" presName="hierChild4" presStyleCnt="0"/>
      <dgm:spPr/>
    </dgm:pt>
    <dgm:pt modelId="{4AC6A035-9597-470E-8D2E-DF71E2FE9599}" type="pres">
      <dgm:prSet presAssocID="{32BF0BEA-9B95-4EE3-B7DC-7386B709F0B0}" presName="hierChild5" presStyleCnt="0"/>
      <dgm:spPr/>
    </dgm:pt>
    <dgm:pt modelId="{A4786297-978F-4B85-B37B-B749CE2634EF}" type="pres">
      <dgm:prSet presAssocID="{E9DB7704-97C1-47B8-9637-BF8637E0F099}" presName="Name37" presStyleLbl="parChTrans1D2" presStyleIdx="2" presStyleCnt="3"/>
      <dgm:spPr/>
      <dgm:t>
        <a:bodyPr/>
        <a:lstStyle/>
        <a:p>
          <a:endParaRPr lang="pt-PT"/>
        </a:p>
      </dgm:t>
    </dgm:pt>
    <dgm:pt modelId="{280C72D8-A2FE-4AB1-B840-F0358E527399}" type="pres">
      <dgm:prSet presAssocID="{B88C88AF-FD02-45ED-9534-5E6A777B95EC}" presName="hierRoot2" presStyleCnt="0">
        <dgm:presLayoutVars>
          <dgm:hierBranch val="init"/>
        </dgm:presLayoutVars>
      </dgm:prSet>
      <dgm:spPr/>
    </dgm:pt>
    <dgm:pt modelId="{989ECAA0-7AF3-451A-8262-839BC5643990}" type="pres">
      <dgm:prSet presAssocID="{B88C88AF-FD02-45ED-9534-5E6A777B95EC}" presName="rootComposite" presStyleCnt="0"/>
      <dgm:spPr/>
    </dgm:pt>
    <dgm:pt modelId="{98F4327C-A253-4130-B235-8879A066702E}" type="pres">
      <dgm:prSet presAssocID="{B88C88AF-FD02-45ED-9534-5E6A777B95EC}" presName="rootText" presStyleLbl="node2" presStyleIdx="2" presStyleCnt="3" custLinFactNeighborX="142" custLinFactNeighborY="-2983">
        <dgm:presLayoutVars>
          <dgm:chPref val="3"/>
        </dgm:presLayoutVars>
      </dgm:prSet>
      <dgm:spPr/>
      <dgm:t>
        <a:bodyPr/>
        <a:lstStyle/>
        <a:p>
          <a:endParaRPr lang="pt-PT"/>
        </a:p>
      </dgm:t>
    </dgm:pt>
    <dgm:pt modelId="{4A3DD59E-F5B5-44AE-84F1-B86BA3170AA0}" type="pres">
      <dgm:prSet presAssocID="{B88C88AF-FD02-45ED-9534-5E6A777B95EC}" presName="rootConnector" presStyleLbl="node2" presStyleIdx="2" presStyleCnt="3"/>
      <dgm:spPr/>
      <dgm:t>
        <a:bodyPr/>
        <a:lstStyle/>
        <a:p>
          <a:endParaRPr lang="pt-PT"/>
        </a:p>
      </dgm:t>
    </dgm:pt>
    <dgm:pt modelId="{CFF55BD8-EDC1-403D-A8B9-B22780A0AA36}" type="pres">
      <dgm:prSet presAssocID="{B88C88AF-FD02-45ED-9534-5E6A777B95EC}" presName="hierChild4" presStyleCnt="0"/>
      <dgm:spPr/>
    </dgm:pt>
    <dgm:pt modelId="{196A1266-13BA-45B7-825F-ADC2C60AEB76}" type="pres">
      <dgm:prSet presAssocID="{B88C88AF-FD02-45ED-9534-5E6A777B95EC}" presName="hierChild5" presStyleCnt="0"/>
      <dgm:spPr/>
    </dgm:pt>
    <dgm:pt modelId="{9691F570-DF23-4DCD-903F-BB1596149831}" type="pres">
      <dgm:prSet presAssocID="{B9D1152A-B381-4F74-AA61-1EEF55D0CAAA}" presName="hierChild3" presStyleCnt="0"/>
      <dgm:spPr/>
    </dgm:pt>
  </dgm:ptLst>
  <dgm:cxnLst>
    <dgm:cxn modelId="{891ACEF2-1CE9-4E24-9040-01603D63C9FA}" type="presOf" srcId="{9797CC01-0169-469C-9186-9E1E168A21E4}" destId="{9046BA38-42A2-4ECD-A80E-ABD76ED7188A}" srcOrd="0" destOrd="0" presId="urn:microsoft.com/office/officeart/2005/8/layout/orgChart1"/>
    <dgm:cxn modelId="{7854F6DE-BD5D-4EE3-AA01-9317CE188BE6}" type="presOf" srcId="{B9D1152A-B381-4F74-AA61-1EEF55D0CAAA}" destId="{6C360A3E-0FDB-4DF5-AD0F-F3B63090497E}" srcOrd="1" destOrd="0" presId="urn:microsoft.com/office/officeart/2005/8/layout/orgChart1"/>
    <dgm:cxn modelId="{A7FEF211-D5B4-4887-B81E-11EAD64A23B1}" type="presOf" srcId="{E9DB7704-97C1-47B8-9637-BF8637E0F099}" destId="{A4786297-978F-4B85-B37B-B749CE2634EF}" srcOrd="0" destOrd="0" presId="urn:microsoft.com/office/officeart/2005/8/layout/orgChart1"/>
    <dgm:cxn modelId="{D7AB33C3-B30B-4D29-B027-F4F05BF89E9E}" srcId="{B9D1152A-B381-4F74-AA61-1EEF55D0CAAA}" destId="{6756F205-5D90-4EC8-9A6C-977A60D8BCE3}" srcOrd="0" destOrd="0" parTransId="{EE156FFF-D1A5-4B51-B1E5-0CB7A9CEACD7}" sibTransId="{56265B34-6B8D-4330-9CAA-72F344BE44B9}"/>
    <dgm:cxn modelId="{0CE3F103-3BEB-4927-8959-CB14B49D70E5}" type="presOf" srcId="{C58028A1-7065-4BE6-897B-740C0DC9E948}" destId="{47C03F82-A03E-4B8C-967D-43F667ADEC9E}" srcOrd="0" destOrd="0" presId="urn:microsoft.com/office/officeart/2005/8/layout/orgChart1"/>
    <dgm:cxn modelId="{3C8FD69D-89E7-45C2-99AA-0A5E0C8B8000}" srcId="{B9D1152A-B381-4F74-AA61-1EEF55D0CAAA}" destId="{32BF0BEA-9B95-4EE3-B7DC-7386B709F0B0}" srcOrd="1" destOrd="0" parTransId="{C58028A1-7065-4BE6-897B-740C0DC9E948}" sibTransId="{AEF3A2A6-A01C-4F0A-BF0C-C79E3CB35614}"/>
    <dgm:cxn modelId="{AD57E144-7F23-44B0-A289-7BA25BD9A224}" type="presOf" srcId="{32BF0BEA-9B95-4EE3-B7DC-7386B709F0B0}" destId="{D2C426BA-446A-46E8-AE5E-DA2024290C9F}" srcOrd="0" destOrd="0" presId="urn:microsoft.com/office/officeart/2005/8/layout/orgChart1"/>
    <dgm:cxn modelId="{ACD806A0-84A7-4F98-BFEA-DD32B691620A}" type="presOf" srcId="{6756F205-5D90-4EC8-9A6C-977A60D8BCE3}" destId="{63ECEA70-AD0F-406A-8B23-C9E810D52277}" srcOrd="1" destOrd="0" presId="urn:microsoft.com/office/officeart/2005/8/layout/orgChart1"/>
    <dgm:cxn modelId="{B5DD54B1-FC2A-4D5C-99F8-A7559B423110}" type="presOf" srcId="{B9D1152A-B381-4F74-AA61-1EEF55D0CAAA}" destId="{9538B5B8-8A8F-4BD7-B637-756D5AEE2DAA}" srcOrd="0" destOrd="0" presId="urn:microsoft.com/office/officeart/2005/8/layout/orgChart1"/>
    <dgm:cxn modelId="{1482C96B-1D30-41B9-A30B-C6AB33531CBE}" type="presOf" srcId="{EE156FFF-D1A5-4B51-B1E5-0CB7A9CEACD7}" destId="{59EAB769-A3FB-4F6B-A723-207BCF5BB376}" srcOrd="0" destOrd="0" presId="urn:microsoft.com/office/officeart/2005/8/layout/orgChart1"/>
    <dgm:cxn modelId="{37BCB539-9B86-4B72-A036-D46FBF78C427}" type="presOf" srcId="{B88C88AF-FD02-45ED-9534-5E6A777B95EC}" destId="{4A3DD59E-F5B5-44AE-84F1-B86BA3170AA0}" srcOrd="1" destOrd="0" presId="urn:microsoft.com/office/officeart/2005/8/layout/orgChart1"/>
    <dgm:cxn modelId="{205630BE-AADE-4A20-8078-852CEC699E94}" type="presOf" srcId="{32BF0BEA-9B95-4EE3-B7DC-7386B709F0B0}" destId="{CD426C75-FEE8-48EE-A3B0-5E5B78B92C13}" srcOrd="1" destOrd="0" presId="urn:microsoft.com/office/officeart/2005/8/layout/orgChart1"/>
    <dgm:cxn modelId="{F4CE6B9E-73B6-4639-86A5-5B136AD81992}" type="presOf" srcId="{B88C88AF-FD02-45ED-9534-5E6A777B95EC}" destId="{98F4327C-A253-4130-B235-8879A066702E}" srcOrd="0" destOrd="0" presId="urn:microsoft.com/office/officeart/2005/8/layout/orgChart1"/>
    <dgm:cxn modelId="{532483E3-7C1A-43F4-B0BA-B276B1357674}" srcId="{B9D1152A-B381-4F74-AA61-1EEF55D0CAAA}" destId="{B88C88AF-FD02-45ED-9534-5E6A777B95EC}" srcOrd="2" destOrd="0" parTransId="{E9DB7704-97C1-47B8-9637-BF8637E0F099}" sibTransId="{7255A61B-CCA6-4675-9456-92BEDAEFE05E}"/>
    <dgm:cxn modelId="{43198743-7416-41BB-AA19-647938CBC36A}" srcId="{9797CC01-0169-469C-9186-9E1E168A21E4}" destId="{B9D1152A-B381-4F74-AA61-1EEF55D0CAAA}" srcOrd="0" destOrd="0" parTransId="{26B9FAFE-BC75-4197-8FF8-44DAD04623EF}" sibTransId="{F466B17E-EC8C-4C52-9215-0127BBC296F9}"/>
    <dgm:cxn modelId="{611B4F26-D147-4E93-8B64-0B12E28F09D9}" type="presOf" srcId="{6756F205-5D90-4EC8-9A6C-977A60D8BCE3}" destId="{4C0241CE-ADD5-42F4-9586-080456FBE28F}" srcOrd="0" destOrd="0" presId="urn:microsoft.com/office/officeart/2005/8/layout/orgChart1"/>
    <dgm:cxn modelId="{B8073FCE-AA5C-4292-99C3-B5D52A4DB14A}" type="presParOf" srcId="{9046BA38-42A2-4ECD-A80E-ABD76ED7188A}" destId="{0FA5F7C7-EE05-4630-B5AB-BE696827475C}" srcOrd="0" destOrd="0" presId="urn:microsoft.com/office/officeart/2005/8/layout/orgChart1"/>
    <dgm:cxn modelId="{E5E5287D-0B9F-48DE-B5AD-7E0058524048}" type="presParOf" srcId="{0FA5F7C7-EE05-4630-B5AB-BE696827475C}" destId="{344BF595-DA8B-4CC9-930E-0E32CC25B838}" srcOrd="0" destOrd="0" presId="urn:microsoft.com/office/officeart/2005/8/layout/orgChart1"/>
    <dgm:cxn modelId="{0912A40A-9B96-46A7-A251-8A7766267734}" type="presParOf" srcId="{344BF595-DA8B-4CC9-930E-0E32CC25B838}" destId="{9538B5B8-8A8F-4BD7-B637-756D5AEE2DAA}" srcOrd="0" destOrd="0" presId="urn:microsoft.com/office/officeart/2005/8/layout/orgChart1"/>
    <dgm:cxn modelId="{72C6AB9C-BED8-4B00-B6A5-091D7678EF5F}" type="presParOf" srcId="{344BF595-DA8B-4CC9-930E-0E32CC25B838}" destId="{6C360A3E-0FDB-4DF5-AD0F-F3B63090497E}" srcOrd="1" destOrd="0" presId="urn:microsoft.com/office/officeart/2005/8/layout/orgChart1"/>
    <dgm:cxn modelId="{D79D2B70-9BEF-45A4-B2B4-F185379CF385}" type="presParOf" srcId="{0FA5F7C7-EE05-4630-B5AB-BE696827475C}" destId="{85733268-8903-4022-949C-9C4A1C3B9F97}" srcOrd="1" destOrd="0" presId="urn:microsoft.com/office/officeart/2005/8/layout/orgChart1"/>
    <dgm:cxn modelId="{89295C02-C2D8-4533-B9E0-D1A1C4453A04}" type="presParOf" srcId="{85733268-8903-4022-949C-9C4A1C3B9F97}" destId="{59EAB769-A3FB-4F6B-A723-207BCF5BB376}" srcOrd="0" destOrd="0" presId="urn:microsoft.com/office/officeart/2005/8/layout/orgChart1"/>
    <dgm:cxn modelId="{04132A4D-20A1-43E4-AA54-B8B352A53C59}" type="presParOf" srcId="{85733268-8903-4022-949C-9C4A1C3B9F97}" destId="{16AFD001-CE14-4B40-A733-86DC766B8AD9}" srcOrd="1" destOrd="0" presId="urn:microsoft.com/office/officeart/2005/8/layout/orgChart1"/>
    <dgm:cxn modelId="{74FCFDC0-F76C-44F3-B6F3-0C5C10711EAC}" type="presParOf" srcId="{16AFD001-CE14-4B40-A733-86DC766B8AD9}" destId="{37958487-D7AF-44FF-A649-CC45E817B5BB}" srcOrd="0" destOrd="0" presId="urn:microsoft.com/office/officeart/2005/8/layout/orgChart1"/>
    <dgm:cxn modelId="{F5DDF97F-E359-4BFB-831E-03075B8522AB}" type="presParOf" srcId="{37958487-D7AF-44FF-A649-CC45E817B5BB}" destId="{4C0241CE-ADD5-42F4-9586-080456FBE28F}" srcOrd="0" destOrd="0" presId="urn:microsoft.com/office/officeart/2005/8/layout/orgChart1"/>
    <dgm:cxn modelId="{20F49630-33A2-4D3B-9F83-EEA07C438588}" type="presParOf" srcId="{37958487-D7AF-44FF-A649-CC45E817B5BB}" destId="{63ECEA70-AD0F-406A-8B23-C9E810D52277}" srcOrd="1" destOrd="0" presId="urn:microsoft.com/office/officeart/2005/8/layout/orgChart1"/>
    <dgm:cxn modelId="{BE80173E-0A70-4E5D-8BBB-E8FC3C87043C}" type="presParOf" srcId="{16AFD001-CE14-4B40-A733-86DC766B8AD9}" destId="{948CF58E-42C1-4078-9077-6FB46A0AECED}" srcOrd="1" destOrd="0" presId="urn:microsoft.com/office/officeart/2005/8/layout/orgChart1"/>
    <dgm:cxn modelId="{029D1699-B362-4B62-8564-60BFA73FF752}" type="presParOf" srcId="{16AFD001-CE14-4B40-A733-86DC766B8AD9}" destId="{89B93E35-1B5F-45BE-99BB-1742D3D5D2E8}" srcOrd="2" destOrd="0" presId="urn:microsoft.com/office/officeart/2005/8/layout/orgChart1"/>
    <dgm:cxn modelId="{C25B2888-47CC-404A-BDB3-0A4CDE79C6E6}" type="presParOf" srcId="{85733268-8903-4022-949C-9C4A1C3B9F97}" destId="{47C03F82-A03E-4B8C-967D-43F667ADEC9E}" srcOrd="2" destOrd="0" presId="urn:microsoft.com/office/officeart/2005/8/layout/orgChart1"/>
    <dgm:cxn modelId="{B71C223F-A1E4-427F-876E-017F31698739}" type="presParOf" srcId="{85733268-8903-4022-949C-9C4A1C3B9F97}" destId="{D2DA3D86-0EC6-4560-B93F-7416B56F46F5}" srcOrd="3" destOrd="0" presId="urn:microsoft.com/office/officeart/2005/8/layout/orgChart1"/>
    <dgm:cxn modelId="{4762A9B1-495B-487C-872D-6318DE2D9757}" type="presParOf" srcId="{D2DA3D86-0EC6-4560-B93F-7416B56F46F5}" destId="{E2336C88-EFB4-442F-8C2B-03E47C9FF715}" srcOrd="0" destOrd="0" presId="urn:microsoft.com/office/officeart/2005/8/layout/orgChart1"/>
    <dgm:cxn modelId="{922ADC33-17EF-4AC3-96D5-848934EA3A5D}" type="presParOf" srcId="{E2336C88-EFB4-442F-8C2B-03E47C9FF715}" destId="{D2C426BA-446A-46E8-AE5E-DA2024290C9F}" srcOrd="0" destOrd="0" presId="urn:microsoft.com/office/officeart/2005/8/layout/orgChart1"/>
    <dgm:cxn modelId="{DED6DD3C-401B-49EB-AAF0-D210120680FF}" type="presParOf" srcId="{E2336C88-EFB4-442F-8C2B-03E47C9FF715}" destId="{CD426C75-FEE8-48EE-A3B0-5E5B78B92C13}" srcOrd="1" destOrd="0" presId="urn:microsoft.com/office/officeart/2005/8/layout/orgChart1"/>
    <dgm:cxn modelId="{ABE1955C-9583-454C-9615-D8A2FCB2A0A4}" type="presParOf" srcId="{D2DA3D86-0EC6-4560-B93F-7416B56F46F5}" destId="{9A17A240-3A29-4EB0-8BBA-B42FA1DFAFC7}" srcOrd="1" destOrd="0" presId="urn:microsoft.com/office/officeart/2005/8/layout/orgChart1"/>
    <dgm:cxn modelId="{9DA47B36-4503-4F02-8099-9FA16ED03634}" type="presParOf" srcId="{D2DA3D86-0EC6-4560-B93F-7416B56F46F5}" destId="{4AC6A035-9597-470E-8D2E-DF71E2FE9599}" srcOrd="2" destOrd="0" presId="urn:microsoft.com/office/officeart/2005/8/layout/orgChart1"/>
    <dgm:cxn modelId="{96222811-FE94-471D-884C-5622C233AD91}" type="presParOf" srcId="{85733268-8903-4022-949C-9C4A1C3B9F97}" destId="{A4786297-978F-4B85-B37B-B749CE2634EF}" srcOrd="4" destOrd="0" presId="urn:microsoft.com/office/officeart/2005/8/layout/orgChart1"/>
    <dgm:cxn modelId="{B066E35A-DB08-4A05-96FF-88956AA29852}" type="presParOf" srcId="{85733268-8903-4022-949C-9C4A1C3B9F97}" destId="{280C72D8-A2FE-4AB1-B840-F0358E527399}" srcOrd="5" destOrd="0" presId="urn:microsoft.com/office/officeart/2005/8/layout/orgChart1"/>
    <dgm:cxn modelId="{E2E5DA9E-0502-490D-825A-88B5496BE1A3}" type="presParOf" srcId="{280C72D8-A2FE-4AB1-B840-F0358E527399}" destId="{989ECAA0-7AF3-451A-8262-839BC5643990}" srcOrd="0" destOrd="0" presId="urn:microsoft.com/office/officeart/2005/8/layout/orgChart1"/>
    <dgm:cxn modelId="{3BAA8FD7-CF53-4EC4-926D-54DB7FBA82B0}" type="presParOf" srcId="{989ECAA0-7AF3-451A-8262-839BC5643990}" destId="{98F4327C-A253-4130-B235-8879A066702E}" srcOrd="0" destOrd="0" presId="urn:microsoft.com/office/officeart/2005/8/layout/orgChart1"/>
    <dgm:cxn modelId="{D043A0E0-75A1-43E7-BF3A-1FD2CC2D5108}" type="presParOf" srcId="{989ECAA0-7AF3-451A-8262-839BC5643990}" destId="{4A3DD59E-F5B5-44AE-84F1-B86BA3170AA0}" srcOrd="1" destOrd="0" presId="urn:microsoft.com/office/officeart/2005/8/layout/orgChart1"/>
    <dgm:cxn modelId="{99D95B80-C752-4282-ABBB-C3B606B76476}" type="presParOf" srcId="{280C72D8-A2FE-4AB1-B840-F0358E527399}" destId="{CFF55BD8-EDC1-403D-A8B9-B22780A0AA36}" srcOrd="1" destOrd="0" presId="urn:microsoft.com/office/officeart/2005/8/layout/orgChart1"/>
    <dgm:cxn modelId="{458D6077-8F4D-4822-83D2-ACF47B5D319B}" type="presParOf" srcId="{280C72D8-A2FE-4AB1-B840-F0358E527399}" destId="{196A1266-13BA-45B7-825F-ADC2C60AEB76}" srcOrd="2" destOrd="0" presId="urn:microsoft.com/office/officeart/2005/8/layout/orgChart1"/>
    <dgm:cxn modelId="{D3D27F5D-EF95-4BDE-AB5D-5FC370EEA916}" type="presParOf" srcId="{0FA5F7C7-EE05-4630-B5AB-BE696827475C}" destId="{9691F570-DF23-4DCD-903F-BB1596149831}" srcOrd="2" destOrd="0" presId="urn:microsoft.com/office/officeart/2005/8/layout/orgChart1"/>
  </dgm:cxnLst>
  <dgm:bg>
    <a:noFill/>
  </dgm:bg>
  <dgm:whole>
    <a:ln w="12700">
      <a:prstDash val="dash"/>
      <a:round/>
    </a:ln>
  </dgm:whole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AA9E87F-3A57-4C38-A26C-B41A778A5CAF}" type="doc">
      <dgm:prSet loTypeId="urn:microsoft.com/office/officeart/2005/8/layout/chevron1" loCatId="process" qsTypeId="urn:microsoft.com/office/officeart/2005/8/quickstyle/simple1" qsCatId="simple" csTypeId="urn:microsoft.com/office/officeart/2005/8/colors/accent2_2" csCatId="accent2" phldr="1"/>
      <dgm:spPr/>
    </dgm:pt>
    <dgm:pt modelId="{1157C160-DFDD-42BC-B6A8-02CB3394DEFD}">
      <dgm:prSet phldrT="[Texto]" custT="1"/>
      <dgm:spPr/>
      <dgm:t>
        <a:bodyPr/>
        <a:lstStyle/>
        <a:p>
          <a:r>
            <a:rPr lang="pt-PT" sz="1100">
              <a:latin typeface="Arial" pitchFamily="34" charset="0"/>
              <a:cs typeface="Arial" pitchFamily="34" charset="0"/>
            </a:rPr>
            <a:t>Lei n.º 20/2010, de 23 de Agosto</a:t>
          </a:r>
        </a:p>
      </dgm:t>
    </dgm:pt>
    <dgm:pt modelId="{82812AAD-7EBD-46A5-A2C1-FDDBF9AE75B9}" type="parTrans" cxnId="{D88D53AC-C0D8-4C77-9210-5A7030F40D12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C2AEC722-67FA-4B23-9CBC-71A2157D339D}" type="sibTrans" cxnId="{D88D53AC-C0D8-4C77-9210-5A7030F40D12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2462F295-012C-4E84-8B68-9BDCF03A1A16}">
      <dgm:prSet phldrT="[Texto]" custT="1"/>
      <dgm:spPr/>
      <dgm:t>
        <a:bodyPr/>
        <a:lstStyle/>
        <a:p>
          <a:r>
            <a:rPr lang="pt-PT" sz="1100">
              <a:latin typeface="Arial" pitchFamily="34" charset="0"/>
              <a:cs typeface="Arial" pitchFamily="34" charset="0"/>
            </a:rPr>
            <a:t>Lei n.º 35/2010, de 2 de Setembro</a:t>
          </a:r>
        </a:p>
      </dgm:t>
    </dgm:pt>
    <dgm:pt modelId="{60A1D109-83E0-4498-9691-228465703E0A}" type="parTrans" cxnId="{752E346D-B07A-4E6B-A137-6E693DD66817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598DE552-C9FB-40EF-97D2-6DFC7F06620D}" type="sibTrans" cxnId="{752E346D-B07A-4E6B-A137-6E693DD66817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F1325716-E860-42EE-BBE0-9526B82E2596}">
      <dgm:prSet phldrT="[Texto]" custT="1"/>
      <dgm:spPr/>
      <dgm:t>
        <a:bodyPr/>
        <a:lstStyle/>
        <a:p>
          <a:r>
            <a:rPr lang="pt-PT" sz="1100">
              <a:latin typeface="Arial" pitchFamily="34" charset="0"/>
              <a:cs typeface="Arial" pitchFamily="34" charset="0"/>
            </a:rPr>
            <a:t>Decreto-Lein.º 36-A/2011, de 9 de Março</a:t>
          </a:r>
        </a:p>
      </dgm:t>
    </dgm:pt>
    <dgm:pt modelId="{2417BAC1-C2D1-42F0-A582-D10E15F4A972}" type="parTrans" cxnId="{31C499E4-8D5D-4E20-B8C9-444893B41D9B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94C70D03-A22C-446F-AF0A-3B1480D9F7F0}" type="sibTrans" cxnId="{31C499E4-8D5D-4E20-B8C9-444893B41D9B}">
      <dgm:prSet/>
      <dgm:spPr/>
      <dgm:t>
        <a:bodyPr/>
        <a:lstStyle/>
        <a:p>
          <a:endParaRPr lang="pt-PT" sz="1100">
            <a:latin typeface="Arial" pitchFamily="34" charset="0"/>
            <a:cs typeface="Arial" pitchFamily="34" charset="0"/>
          </a:endParaRPr>
        </a:p>
      </dgm:t>
    </dgm:pt>
    <dgm:pt modelId="{F10B7C31-5AF1-4C98-9EF3-9AD4FEE455D5}" type="pres">
      <dgm:prSet presAssocID="{2AA9E87F-3A57-4C38-A26C-B41A778A5CAF}" presName="Name0" presStyleCnt="0">
        <dgm:presLayoutVars>
          <dgm:dir/>
          <dgm:animLvl val="lvl"/>
          <dgm:resizeHandles val="exact"/>
        </dgm:presLayoutVars>
      </dgm:prSet>
      <dgm:spPr/>
    </dgm:pt>
    <dgm:pt modelId="{1D4C7D33-F863-4ECE-8E84-C4E69ACEBFD2}" type="pres">
      <dgm:prSet presAssocID="{1157C160-DFDD-42BC-B6A8-02CB3394DEFD}" presName="parTxOnly" presStyleLbl="node1" presStyleIdx="0" presStyleCnt="3" custLinFactNeighborY="-228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PT"/>
        </a:p>
      </dgm:t>
    </dgm:pt>
    <dgm:pt modelId="{3AC9D767-8A78-4AB2-BFFE-A5E5EC2DCDF8}" type="pres">
      <dgm:prSet presAssocID="{C2AEC722-67FA-4B23-9CBC-71A2157D339D}" presName="parTxOnlySpace" presStyleCnt="0"/>
      <dgm:spPr/>
    </dgm:pt>
    <dgm:pt modelId="{4888F322-9C94-4B34-9638-9DFE96DE52A0}" type="pres">
      <dgm:prSet presAssocID="{2462F295-012C-4E84-8B68-9BDCF03A1A16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PT"/>
        </a:p>
      </dgm:t>
    </dgm:pt>
    <dgm:pt modelId="{32AA8A33-6260-43CC-B1E1-241B037ACA29}" type="pres">
      <dgm:prSet presAssocID="{598DE552-C9FB-40EF-97D2-6DFC7F06620D}" presName="parTxOnlySpace" presStyleCnt="0"/>
      <dgm:spPr/>
    </dgm:pt>
    <dgm:pt modelId="{033EBB1D-C95E-490F-BCDD-D09ED52A1F6E}" type="pres">
      <dgm:prSet presAssocID="{F1325716-E860-42EE-BBE0-9526B82E259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PT"/>
        </a:p>
      </dgm:t>
    </dgm:pt>
  </dgm:ptLst>
  <dgm:cxnLst>
    <dgm:cxn modelId="{D88D53AC-C0D8-4C77-9210-5A7030F40D12}" srcId="{2AA9E87F-3A57-4C38-A26C-B41A778A5CAF}" destId="{1157C160-DFDD-42BC-B6A8-02CB3394DEFD}" srcOrd="0" destOrd="0" parTransId="{82812AAD-7EBD-46A5-A2C1-FDDBF9AE75B9}" sibTransId="{C2AEC722-67FA-4B23-9CBC-71A2157D339D}"/>
    <dgm:cxn modelId="{CD2E9BA5-8AF9-4ECD-9DAB-838CCB132941}" type="presOf" srcId="{F1325716-E860-42EE-BBE0-9526B82E2596}" destId="{033EBB1D-C95E-490F-BCDD-D09ED52A1F6E}" srcOrd="0" destOrd="0" presId="urn:microsoft.com/office/officeart/2005/8/layout/chevron1"/>
    <dgm:cxn modelId="{31C499E4-8D5D-4E20-B8C9-444893B41D9B}" srcId="{2AA9E87F-3A57-4C38-A26C-B41A778A5CAF}" destId="{F1325716-E860-42EE-BBE0-9526B82E2596}" srcOrd="2" destOrd="0" parTransId="{2417BAC1-C2D1-42F0-A582-D10E15F4A972}" sibTransId="{94C70D03-A22C-446F-AF0A-3B1480D9F7F0}"/>
    <dgm:cxn modelId="{86A3C386-A5D3-416F-BE86-B00643FCA111}" type="presOf" srcId="{1157C160-DFDD-42BC-B6A8-02CB3394DEFD}" destId="{1D4C7D33-F863-4ECE-8E84-C4E69ACEBFD2}" srcOrd="0" destOrd="0" presId="urn:microsoft.com/office/officeart/2005/8/layout/chevron1"/>
    <dgm:cxn modelId="{66AB951E-836A-469D-88A7-DB7DF32D0E58}" type="presOf" srcId="{2AA9E87F-3A57-4C38-A26C-B41A778A5CAF}" destId="{F10B7C31-5AF1-4C98-9EF3-9AD4FEE455D5}" srcOrd="0" destOrd="0" presId="urn:microsoft.com/office/officeart/2005/8/layout/chevron1"/>
    <dgm:cxn modelId="{FDCAABD5-E5AC-4F22-86FC-F871D0799C7E}" type="presOf" srcId="{2462F295-012C-4E84-8B68-9BDCF03A1A16}" destId="{4888F322-9C94-4B34-9638-9DFE96DE52A0}" srcOrd="0" destOrd="0" presId="urn:microsoft.com/office/officeart/2005/8/layout/chevron1"/>
    <dgm:cxn modelId="{752E346D-B07A-4E6B-A137-6E693DD66817}" srcId="{2AA9E87F-3A57-4C38-A26C-B41A778A5CAF}" destId="{2462F295-012C-4E84-8B68-9BDCF03A1A16}" srcOrd="1" destOrd="0" parTransId="{60A1D109-83E0-4498-9691-228465703E0A}" sibTransId="{598DE552-C9FB-40EF-97D2-6DFC7F06620D}"/>
    <dgm:cxn modelId="{6D844F24-1336-4E29-93A8-EA5E18D2A026}" type="presParOf" srcId="{F10B7C31-5AF1-4C98-9EF3-9AD4FEE455D5}" destId="{1D4C7D33-F863-4ECE-8E84-C4E69ACEBFD2}" srcOrd="0" destOrd="0" presId="urn:microsoft.com/office/officeart/2005/8/layout/chevron1"/>
    <dgm:cxn modelId="{1A27C932-1C9F-4ABA-9F6D-B8E7C4E6B519}" type="presParOf" srcId="{F10B7C31-5AF1-4C98-9EF3-9AD4FEE455D5}" destId="{3AC9D767-8A78-4AB2-BFFE-A5E5EC2DCDF8}" srcOrd="1" destOrd="0" presId="urn:microsoft.com/office/officeart/2005/8/layout/chevron1"/>
    <dgm:cxn modelId="{3F872934-5A63-4344-AC8E-E0A50205E806}" type="presParOf" srcId="{F10B7C31-5AF1-4C98-9EF3-9AD4FEE455D5}" destId="{4888F322-9C94-4B34-9638-9DFE96DE52A0}" srcOrd="2" destOrd="0" presId="urn:microsoft.com/office/officeart/2005/8/layout/chevron1"/>
    <dgm:cxn modelId="{85F59264-4618-4D5C-BAFA-758A0B879086}" type="presParOf" srcId="{F10B7C31-5AF1-4C98-9EF3-9AD4FEE455D5}" destId="{32AA8A33-6260-43CC-B1E1-241B037ACA29}" srcOrd="3" destOrd="0" presId="urn:microsoft.com/office/officeart/2005/8/layout/chevron1"/>
    <dgm:cxn modelId="{176BBB11-4B3C-41EF-B768-9A99A47C8780}" type="presParOf" srcId="{F10B7C31-5AF1-4C98-9EF3-9AD4FEE455D5}" destId="{033EBB1D-C95E-490F-BCDD-D09ED52A1F6E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4786297-978F-4B85-B37B-B749CE2634EF}">
      <dsp:nvSpPr>
        <dsp:cNvPr id="0" name=""/>
        <dsp:cNvSpPr/>
      </dsp:nvSpPr>
      <dsp:spPr>
        <a:xfrm>
          <a:off x="2746805" y="850335"/>
          <a:ext cx="1943753" cy="2237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065"/>
              </a:lnTo>
              <a:lnTo>
                <a:pt x="1943753" y="55065"/>
              </a:lnTo>
              <a:lnTo>
                <a:pt x="1943753" y="223706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C03F82-A03E-4B8C-967D-43F667ADEC9E}">
      <dsp:nvSpPr>
        <dsp:cNvPr id="0" name=""/>
        <dsp:cNvSpPr/>
      </dsp:nvSpPr>
      <dsp:spPr>
        <a:xfrm>
          <a:off x="2701084" y="850335"/>
          <a:ext cx="91440" cy="24168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1686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EAB769-A3FB-4F6B-A723-207BCF5BB376}">
      <dsp:nvSpPr>
        <dsp:cNvPr id="0" name=""/>
        <dsp:cNvSpPr/>
      </dsp:nvSpPr>
      <dsp:spPr>
        <a:xfrm>
          <a:off x="803420" y="850335"/>
          <a:ext cx="1943384" cy="247661"/>
        </a:xfrm>
        <a:custGeom>
          <a:avLst/>
          <a:gdLst/>
          <a:ahLst/>
          <a:cxnLst/>
          <a:rect l="0" t="0" r="0" b="0"/>
          <a:pathLst>
            <a:path>
              <a:moveTo>
                <a:pt x="1943384" y="0"/>
              </a:moveTo>
              <a:lnTo>
                <a:pt x="1943384" y="79020"/>
              </a:lnTo>
              <a:lnTo>
                <a:pt x="0" y="79020"/>
              </a:lnTo>
              <a:lnTo>
                <a:pt x="0" y="247661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38B5B8-8A8F-4BD7-B637-756D5AEE2DAA}">
      <dsp:nvSpPr>
        <dsp:cNvPr id="0" name=""/>
        <dsp:cNvSpPr/>
      </dsp:nvSpPr>
      <dsp:spPr>
        <a:xfrm>
          <a:off x="1743938" y="277663"/>
          <a:ext cx="2005733" cy="572672"/>
        </a:xfrm>
        <a:prstGeom prst="rect">
          <a:avLst/>
        </a:prstGeom>
        <a:solidFill>
          <a:schemeClr val="accent2">
            <a:alpha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Decreto-Lei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n.º 158/2009</a:t>
          </a:r>
        </a:p>
      </dsp:txBody>
      <dsp:txXfrm>
        <a:off x="1743938" y="277663"/>
        <a:ext cx="2005733" cy="572672"/>
      </dsp:txXfrm>
    </dsp:sp>
    <dsp:sp modelId="{4C0241CE-ADD5-42F4-9586-080456FBE28F}">
      <dsp:nvSpPr>
        <dsp:cNvPr id="0" name=""/>
        <dsp:cNvSpPr/>
      </dsp:nvSpPr>
      <dsp:spPr>
        <a:xfrm>
          <a:off x="368" y="1097996"/>
          <a:ext cx="1606103" cy="1540830"/>
        </a:xfrm>
        <a:prstGeom prst="rect">
          <a:avLst/>
        </a:prstGeom>
        <a:solidFill>
          <a:schemeClr val="accent2">
            <a:alpha val="7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GERAL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Aplicável à generalidade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das entidades que não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aplicam as NIC/NIRF e às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entidades abrangidas pela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NCRF-PE ou pela NCM que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optem por não as aplicar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PT" sz="1000" kern="1200">
            <a:latin typeface="Arial" pitchFamily="34" charset="0"/>
            <a:cs typeface="Arial" pitchFamily="34" charset="0"/>
          </a:endParaRPr>
        </a:p>
      </dsp:txBody>
      <dsp:txXfrm>
        <a:off x="368" y="1097996"/>
        <a:ext cx="1606103" cy="1540830"/>
      </dsp:txXfrm>
    </dsp:sp>
    <dsp:sp modelId="{D2C426BA-446A-46E8-AE5E-DA2024290C9F}">
      <dsp:nvSpPr>
        <dsp:cNvPr id="0" name=""/>
        <dsp:cNvSpPr/>
      </dsp:nvSpPr>
      <dsp:spPr>
        <a:xfrm>
          <a:off x="1943753" y="1092022"/>
          <a:ext cx="1606103" cy="707351"/>
        </a:xfrm>
        <a:prstGeom prst="rect">
          <a:avLst/>
        </a:prstGeom>
        <a:solidFill>
          <a:schemeClr val="accent2">
            <a:alpha val="7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PEQUENAS ENTIDADES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Alterado pela Lei n.º 20/2010, de 23 de Agosto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PT" sz="1000" kern="1200">
            <a:latin typeface="Arial" pitchFamily="34" charset="0"/>
            <a:cs typeface="Arial" pitchFamily="34" charset="0"/>
          </a:endParaRPr>
        </a:p>
      </dsp:txBody>
      <dsp:txXfrm>
        <a:off x="1943753" y="1092022"/>
        <a:ext cx="1606103" cy="707351"/>
      </dsp:txXfrm>
    </dsp:sp>
    <dsp:sp modelId="{98F4327C-A253-4130-B235-8879A066702E}">
      <dsp:nvSpPr>
        <dsp:cNvPr id="0" name=""/>
        <dsp:cNvSpPr/>
      </dsp:nvSpPr>
      <dsp:spPr>
        <a:xfrm>
          <a:off x="3887506" y="1074041"/>
          <a:ext cx="1606103" cy="803051"/>
        </a:xfrm>
        <a:prstGeom prst="rect">
          <a:avLst/>
        </a:prstGeom>
        <a:solidFill>
          <a:schemeClr val="accent2">
            <a:alpha val="7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MICROENTIDADES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000" kern="1200">
              <a:latin typeface="Arial" pitchFamily="34" charset="0"/>
              <a:cs typeface="Arial" pitchFamily="34" charset="0"/>
            </a:rPr>
            <a:t>Decreto-Lei n.º 35/2010, de 2 de Setembro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PT" sz="1000" kern="1200">
            <a:latin typeface="Arial" pitchFamily="34" charset="0"/>
            <a:cs typeface="Arial" pitchFamily="34" charset="0"/>
          </a:endParaRPr>
        </a:p>
      </dsp:txBody>
      <dsp:txXfrm>
        <a:off x="3887506" y="1074041"/>
        <a:ext cx="1606103" cy="80305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D4C7D33-F863-4ECE-8E84-C4E69ACEBFD2}">
      <dsp:nvSpPr>
        <dsp:cNvPr id="0" name=""/>
        <dsp:cNvSpPr/>
      </dsp:nvSpPr>
      <dsp:spPr>
        <a:xfrm>
          <a:off x="1612" y="177894"/>
          <a:ext cx="1964026" cy="785610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100" kern="1200">
              <a:latin typeface="Arial" pitchFamily="34" charset="0"/>
              <a:cs typeface="Arial" pitchFamily="34" charset="0"/>
            </a:rPr>
            <a:t>Lei n.º 20/2010, de 23 de Agosto</a:t>
          </a:r>
        </a:p>
      </dsp:txBody>
      <dsp:txXfrm>
        <a:off x="1612" y="177894"/>
        <a:ext cx="1964026" cy="785610"/>
      </dsp:txXfrm>
    </dsp:sp>
    <dsp:sp modelId="{4888F322-9C94-4B34-9638-9DFE96DE52A0}">
      <dsp:nvSpPr>
        <dsp:cNvPr id="0" name=""/>
        <dsp:cNvSpPr/>
      </dsp:nvSpPr>
      <dsp:spPr>
        <a:xfrm>
          <a:off x="1769236" y="195877"/>
          <a:ext cx="1964026" cy="785610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100" kern="1200">
              <a:latin typeface="Arial" pitchFamily="34" charset="0"/>
              <a:cs typeface="Arial" pitchFamily="34" charset="0"/>
            </a:rPr>
            <a:t>Lei n.º 35/2010, de 2 de Setembro</a:t>
          </a:r>
        </a:p>
      </dsp:txBody>
      <dsp:txXfrm>
        <a:off x="1769236" y="195877"/>
        <a:ext cx="1964026" cy="785610"/>
      </dsp:txXfrm>
    </dsp:sp>
    <dsp:sp modelId="{033EBB1D-C95E-490F-BCDD-D09ED52A1F6E}">
      <dsp:nvSpPr>
        <dsp:cNvPr id="0" name=""/>
        <dsp:cNvSpPr/>
      </dsp:nvSpPr>
      <dsp:spPr>
        <a:xfrm>
          <a:off x="3536860" y="195877"/>
          <a:ext cx="1964026" cy="785610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PT" sz="1100" kern="1200">
              <a:latin typeface="Arial" pitchFamily="34" charset="0"/>
              <a:cs typeface="Arial" pitchFamily="34" charset="0"/>
            </a:rPr>
            <a:t>Decreto-Lein.º 36-A/2011, de 9 de Março</a:t>
          </a:r>
        </a:p>
      </dsp:txBody>
      <dsp:txXfrm>
        <a:off x="3536860" y="195877"/>
        <a:ext cx="1964026" cy="7856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tro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2010-06-09T00:00:00</PublishDate>
  <Abstract/>
  <CompanyAddress>AUDITORIA                                        SNCPE vs NCM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F25941-5709-49B8-A4C4-C450DAE77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1365</TotalTime>
  <Pages>14</Pages>
  <Words>2700</Words>
  <Characters>14580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SNCPE vs NCM – Principais Diferenças</vt:lpstr>
    </vt:vector>
  </TitlesOfParts>
  <Company>Freguesia de Albernoa</Company>
  <LinksUpToDate>false</LinksUpToDate>
  <CharactersWithSpaces>17246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SNCPE vs NCM – Principais Diferenças</dc:title>
  <dc:subject>Docente. Dr. OrlandoRoque</dc:subject>
  <dc:creator>F-ALBERNOA</dc:creator>
  <cp:lastModifiedBy>Optimus</cp:lastModifiedBy>
  <cp:revision>21</cp:revision>
  <cp:lastPrinted>2011-11-03T22:20:00Z</cp:lastPrinted>
  <dcterms:created xsi:type="dcterms:W3CDTF">2011-10-31T12:19:00Z</dcterms:created>
  <dcterms:modified xsi:type="dcterms:W3CDTF">2011-11-03T23:30:00Z</dcterms:modified>
</cp:coreProperties>
</file>