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0" w:type="dxa"/>
        <w:tblCellSpacing w:w="0" w:type="dxa"/>
        <w:shd w:val="clear" w:color="auto" w:fill="FFFFFF"/>
        <w:tblCellMar>
          <w:left w:w="0" w:type="dxa"/>
          <w:right w:w="0" w:type="dxa"/>
        </w:tblCellMar>
        <w:tblLook w:val="04A0" w:firstRow="1" w:lastRow="0" w:firstColumn="1" w:lastColumn="0" w:noHBand="0" w:noVBand="1"/>
      </w:tblPr>
      <w:tblGrid>
        <w:gridCol w:w="858"/>
        <w:gridCol w:w="8832"/>
      </w:tblGrid>
      <w:tr w:rsidR="00C939B1" w:rsidRPr="00C939B1" w:rsidTr="00C939B1">
        <w:trPr>
          <w:tblCellSpacing w:w="0" w:type="dxa"/>
        </w:trPr>
        <w:tc>
          <w:tcPr>
            <w:tcW w:w="600" w:type="dxa"/>
            <w:shd w:val="clear" w:color="auto" w:fill="FFFFFF"/>
            <w:tcMar>
              <w:top w:w="0" w:type="dxa"/>
              <w:left w:w="225" w:type="dxa"/>
              <w:bottom w:w="180" w:type="dxa"/>
              <w:right w:w="0" w:type="dxa"/>
            </w:tcMar>
            <w:vAlign w:val="center"/>
            <w:hideMark/>
          </w:tcPr>
          <w:p w:rsidR="00C939B1" w:rsidRPr="00C939B1" w:rsidRDefault="00C939B1" w:rsidP="00C939B1">
            <w:pPr>
              <w:spacing w:before="225" w:after="0" w:line="540" w:lineRule="atLeast"/>
              <w:rPr>
                <w:rFonts w:ascii="Trebuchet MS" w:eastAsia="Times New Roman" w:hAnsi="Trebuchet MS"/>
                <w:b/>
                <w:bCs/>
                <w:color w:val="AECAD8"/>
                <w:sz w:val="54"/>
                <w:szCs w:val="54"/>
                <w:lang w:eastAsia="pt-PT"/>
              </w:rPr>
            </w:pPr>
            <w:r w:rsidRPr="00C939B1">
              <w:rPr>
                <w:rFonts w:ascii="Trebuchet MS" w:eastAsia="Times New Roman" w:hAnsi="Trebuchet MS"/>
                <w:b/>
                <w:bCs/>
                <w:color w:val="AECAD8"/>
                <w:sz w:val="54"/>
                <w:szCs w:val="54"/>
                <w:lang w:eastAsia="pt-PT"/>
              </w:rPr>
              <w:t>28</w:t>
            </w:r>
          </w:p>
        </w:tc>
        <w:tc>
          <w:tcPr>
            <w:tcW w:w="0" w:type="auto"/>
            <w:shd w:val="clear" w:color="auto" w:fill="FFFFFF"/>
            <w:tcMar>
              <w:top w:w="0" w:type="dxa"/>
              <w:left w:w="150" w:type="dxa"/>
              <w:bottom w:w="225" w:type="dxa"/>
              <w:right w:w="150" w:type="dxa"/>
            </w:tcMar>
            <w:vAlign w:val="bottom"/>
            <w:hideMark/>
          </w:tcPr>
          <w:p w:rsidR="00C939B1" w:rsidRPr="00C939B1" w:rsidRDefault="00C939B1" w:rsidP="00C939B1">
            <w:pPr>
              <w:spacing w:before="225" w:after="0" w:line="225" w:lineRule="atLeast"/>
              <w:rPr>
                <w:rFonts w:ascii="Trebuchet MS" w:eastAsia="Times New Roman" w:hAnsi="Trebuchet MS"/>
                <w:b/>
                <w:bCs/>
                <w:color w:val="9AC516"/>
                <w:sz w:val="21"/>
                <w:szCs w:val="21"/>
                <w:lang w:eastAsia="pt-PT"/>
              </w:rPr>
            </w:pPr>
            <w:proofErr w:type="gramStart"/>
            <w:r w:rsidRPr="00C939B1">
              <w:rPr>
                <w:rFonts w:ascii="Trebuchet MS" w:eastAsia="Times New Roman" w:hAnsi="Trebuchet MS"/>
                <w:b/>
                <w:bCs/>
                <w:color w:val="9AC516"/>
                <w:sz w:val="21"/>
                <w:szCs w:val="21"/>
                <w:lang w:eastAsia="pt-PT"/>
              </w:rPr>
              <w:t>Provisões para</w:t>
            </w:r>
            <w:proofErr w:type="gramEnd"/>
            <w:r w:rsidRPr="00C939B1">
              <w:rPr>
                <w:rFonts w:ascii="Trebuchet MS" w:eastAsia="Times New Roman" w:hAnsi="Trebuchet MS"/>
                <w:b/>
                <w:bCs/>
                <w:color w:val="9AC516"/>
                <w:sz w:val="21"/>
                <w:szCs w:val="21"/>
                <w:lang w:eastAsia="pt-PT"/>
              </w:rPr>
              <w:t xml:space="preserve"> créditos de cobrança duvidosa</w:t>
            </w:r>
          </w:p>
        </w:tc>
      </w:tr>
    </w:tbl>
    <w:p w:rsidR="00C939B1" w:rsidRPr="00C939B1" w:rsidRDefault="00C939B1" w:rsidP="00C939B1">
      <w:pPr>
        <w:spacing w:after="0" w:line="240" w:lineRule="auto"/>
        <w:rPr>
          <w:rFonts w:ascii="Times New Roman" w:eastAsia="Times New Roman" w:hAnsi="Times New Roman"/>
          <w:vanish/>
          <w:sz w:val="24"/>
          <w:szCs w:val="24"/>
          <w:lang w:eastAsia="pt-PT"/>
        </w:rPr>
      </w:pPr>
    </w:p>
    <w:tbl>
      <w:tblPr>
        <w:tblW w:w="9915" w:type="dxa"/>
        <w:tblCellSpacing w:w="0" w:type="dxa"/>
        <w:tblInd w:w="-225" w:type="dxa"/>
        <w:shd w:val="clear" w:color="auto" w:fill="FFFFFF"/>
        <w:tblCellMar>
          <w:left w:w="0" w:type="dxa"/>
          <w:right w:w="0" w:type="dxa"/>
        </w:tblCellMar>
        <w:tblLook w:val="04A0" w:firstRow="1" w:lastRow="0" w:firstColumn="1" w:lastColumn="0" w:noHBand="0" w:noVBand="1"/>
      </w:tblPr>
      <w:tblGrid>
        <w:gridCol w:w="225"/>
        <w:gridCol w:w="1942"/>
        <w:gridCol w:w="7058"/>
        <w:gridCol w:w="690"/>
      </w:tblGrid>
      <w:tr w:rsidR="00C939B1" w:rsidRPr="00C939B1" w:rsidTr="00751A5E">
        <w:trPr>
          <w:gridBefore w:val="1"/>
          <w:wBefore w:w="225" w:type="dxa"/>
          <w:tblCellSpacing w:w="0" w:type="dxa"/>
        </w:trPr>
        <w:tc>
          <w:tcPr>
            <w:tcW w:w="9690" w:type="dxa"/>
            <w:gridSpan w:val="3"/>
            <w:shd w:val="clear" w:color="auto" w:fill="FFFFFF"/>
            <w:vAlign w:val="center"/>
            <w:hideMark/>
          </w:tcPr>
          <w:p w:rsidR="00C939B1" w:rsidRPr="00C939B1" w:rsidRDefault="00C939B1" w:rsidP="00C939B1">
            <w:pPr>
              <w:spacing w:before="100" w:beforeAutospacing="1" w:after="100" w:afterAutospacing="1" w:line="195" w:lineRule="atLeast"/>
              <w:jc w:val="both"/>
              <w:rPr>
                <w:rFonts w:ascii="Trebuchet MS" w:eastAsia="Times New Roman" w:hAnsi="Trebuchet MS"/>
                <w:color w:val="586D6F"/>
                <w:sz w:val="18"/>
                <w:szCs w:val="18"/>
                <w:lang w:eastAsia="pt-PT"/>
              </w:rPr>
            </w:pPr>
            <w:r w:rsidRPr="00C939B1">
              <w:rPr>
                <w:rFonts w:ascii="Trebuchet MS" w:eastAsia="Times New Roman" w:hAnsi="Trebuchet MS"/>
                <w:color w:val="586D6F"/>
                <w:sz w:val="18"/>
                <w:szCs w:val="18"/>
                <w:lang w:eastAsia="pt-PT"/>
              </w:rPr>
              <w:t xml:space="preserve">São créditos de </w:t>
            </w:r>
            <w:proofErr w:type="gramStart"/>
            <w:r w:rsidRPr="00C939B1">
              <w:rPr>
                <w:rFonts w:ascii="Trebuchet MS" w:eastAsia="Times New Roman" w:hAnsi="Trebuchet MS"/>
                <w:color w:val="586D6F"/>
                <w:sz w:val="18"/>
                <w:szCs w:val="18"/>
                <w:lang w:eastAsia="pt-PT"/>
              </w:rPr>
              <w:t>cobrança</w:t>
            </w:r>
            <w:proofErr w:type="gramEnd"/>
            <w:r w:rsidRPr="00C939B1">
              <w:rPr>
                <w:rFonts w:ascii="Trebuchet MS" w:eastAsia="Times New Roman" w:hAnsi="Trebuchet MS"/>
                <w:color w:val="586D6F"/>
                <w:sz w:val="18"/>
                <w:szCs w:val="18"/>
                <w:lang w:eastAsia="pt-PT"/>
              </w:rPr>
              <w:t xml:space="preserve"> duvidosa "</w:t>
            </w:r>
            <w:proofErr w:type="gramStart"/>
            <w:r w:rsidRPr="00C939B1">
              <w:rPr>
                <w:rFonts w:ascii="Trebuchet MS" w:eastAsia="Times New Roman" w:hAnsi="Trebuchet MS"/>
                <w:color w:val="586D6F"/>
                <w:sz w:val="18"/>
                <w:szCs w:val="18"/>
                <w:lang w:eastAsia="pt-PT"/>
              </w:rPr>
              <w:t>aqueles</w:t>
            </w:r>
            <w:proofErr w:type="gramEnd"/>
            <w:r w:rsidRPr="00C939B1">
              <w:rPr>
                <w:rFonts w:ascii="Trebuchet MS" w:eastAsia="Times New Roman" w:hAnsi="Trebuchet MS"/>
                <w:color w:val="586D6F"/>
                <w:sz w:val="18"/>
                <w:szCs w:val="18"/>
                <w:lang w:eastAsia="pt-PT"/>
              </w:rPr>
              <w:t xml:space="preserve"> em que o risco de incobrabilidade se considere devidamente justificado". Estão nesta situação os casos em </w:t>
            </w:r>
            <w:proofErr w:type="gramStart"/>
            <w:r w:rsidRPr="00C939B1">
              <w:rPr>
                <w:rFonts w:ascii="Trebuchet MS" w:eastAsia="Times New Roman" w:hAnsi="Trebuchet MS"/>
                <w:color w:val="586D6F"/>
                <w:sz w:val="18"/>
                <w:szCs w:val="18"/>
                <w:lang w:eastAsia="pt-PT"/>
              </w:rPr>
              <w:t>que</w:t>
            </w:r>
            <w:proofErr w:type="gramEnd"/>
            <w:r w:rsidRPr="00C939B1">
              <w:rPr>
                <w:rFonts w:ascii="Trebuchet MS" w:eastAsia="Times New Roman" w:hAnsi="Trebuchet MS"/>
                <w:color w:val="586D6F"/>
                <w:sz w:val="18"/>
                <w:szCs w:val="18"/>
                <w:lang w:eastAsia="pt-PT"/>
              </w:rPr>
              <w:t>:</w:t>
            </w:r>
          </w:p>
          <w:p w:rsidR="00C939B1" w:rsidRPr="00C939B1" w:rsidRDefault="00C939B1" w:rsidP="00C939B1">
            <w:pPr>
              <w:spacing w:beforeAutospacing="1" w:after="100" w:afterAutospacing="1" w:line="195" w:lineRule="atLeast"/>
              <w:jc w:val="both"/>
              <w:rPr>
                <w:rFonts w:ascii="Trebuchet MS" w:eastAsia="Times New Roman" w:hAnsi="Trebuchet MS"/>
                <w:color w:val="586D6F"/>
                <w:sz w:val="18"/>
                <w:szCs w:val="18"/>
                <w:lang w:eastAsia="pt-PT"/>
              </w:rPr>
            </w:pPr>
            <w:r w:rsidRPr="00C939B1">
              <w:rPr>
                <w:rFonts w:ascii="Trebuchet MS" w:eastAsia="Times New Roman" w:hAnsi="Trebuchet MS"/>
                <w:color w:val="586D6F"/>
                <w:sz w:val="18"/>
                <w:szCs w:val="18"/>
                <w:lang w:eastAsia="pt-PT"/>
              </w:rPr>
              <w:t>• Devedor tenha pendente processo especial de recuperação de empresa e protecção de credores ou processo de execução, falência ou insolvência; </w:t>
            </w:r>
            <w:r w:rsidRPr="00C939B1">
              <w:rPr>
                <w:rFonts w:ascii="Trebuchet MS" w:eastAsia="Times New Roman" w:hAnsi="Trebuchet MS"/>
                <w:color w:val="586D6F"/>
                <w:sz w:val="18"/>
                <w:szCs w:val="18"/>
                <w:lang w:eastAsia="pt-PT"/>
              </w:rPr>
              <w:br/>
              <w:t>• Os créditos tenham sido reclamados judicialmente; </w:t>
            </w:r>
            <w:r w:rsidRPr="00C939B1">
              <w:rPr>
                <w:rFonts w:ascii="Trebuchet MS" w:eastAsia="Times New Roman" w:hAnsi="Trebuchet MS"/>
                <w:color w:val="586D6F"/>
                <w:sz w:val="18"/>
                <w:szCs w:val="18"/>
                <w:lang w:eastAsia="pt-PT"/>
              </w:rPr>
              <w:br/>
              <w:t>• Os créditos estejam em mora há mais de seis medes desde a data do respectivo vencimento e existam provas de terem sido efectuadas diligências para o seu recebimento.</w:t>
            </w:r>
          </w:p>
          <w:p w:rsidR="00C939B1" w:rsidRPr="00C939B1" w:rsidRDefault="00C939B1" w:rsidP="00C939B1">
            <w:pPr>
              <w:spacing w:before="100" w:beforeAutospacing="1" w:after="100" w:afterAutospacing="1" w:line="195" w:lineRule="atLeast"/>
              <w:jc w:val="both"/>
              <w:rPr>
                <w:rFonts w:ascii="Trebuchet MS" w:eastAsia="Times New Roman" w:hAnsi="Trebuchet MS"/>
                <w:color w:val="586D6F"/>
                <w:sz w:val="18"/>
                <w:szCs w:val="18"/>
                <w:lang w:eastAsia="pt-PT"/>
              </w:rPr>
            </w:pPr>
            <w:r w:rsidRPr="00C939B1">
              <w:rPr>
                <w:rFonts w:ascii="Trebuchet MS" w:eastAsia="Times New Roman" w:hAnsi="Trebuchet MS"/>
                <w:color w:val="586D6F"/>
                <w:sz w:val="18"/>
                <w:szCs w:val="18"/>
                <w:lang w:eastAsia="pt-PT"/>
              </w:rPr>
              <w:t>Nos casos previstos nas duas primeiras situações, porque se considera existir uma grande probabilidade do crédito não ser recuperado, quer pelo facto do credor ter recorrido aos tribunais, quer ainda por já existir um processo pendente revelador da incapacidade do devedor solver as suas dívidas, a provisão pode ser constituída por 100% do valor em dívida, a partir do momento em que se iniciaram quaisquer daqueles processos.</w:t>
            </w:r>
            <w:r w:rsidRPr="00C939B1">
              <w:rPr>
                <w:rFonts w:ascii="Trebuchet MS" w:eastAsia="Times New Roman" w:hAnsi="Trebuchet MS"/>
                <w:color w:val="586D6F"/>
                <w:sz w:val="18"/>
                <w:szCs w:val="18"/>
                <w:lang w:eastAsia="pt-PT"/>
              </w:rPr>
              <w:br/>
              <w:t xml:space="preserve">Também se considera existir o risco de incobrabilidade quando já decorreu o tempo considerado razoável para a satisfação da dívida e, apesar das diligências efectuadas, não foi possível o seu recebimento (ultima </w:t>
            </w:r>
            <w:proofErr w:type="gramStart"/>
            <w:r w:rsidRPr="00C939B1">
              <w:rPr>
                <w:rFonts w:ascii="Trebuchet MS" w:eastAsia="Times New Roman" w:hAnsi="Trebuchet MS"/>
                <w:color w:val="586D6F"/>
                <w:sz w:val="18"/>
                <w:szCs w:val="18"/>
                <w:lang w:eastAsia="pt-PT"/>
              </w:rPr>
              <w:t>situação) .</w:t>
            </w:r>
            <w:proofErr w:type="gramEnd"/>
            <w:r w:rsidRPr="00C939B1">
              <w:rPr>
                <w:rFonts w:ascii="Trebuchet MS" w:eastAsia="Times New Roman" w:hAnsi="Trebuchet MS"/>
                <w:color w:val="586D6F"/>
                <w:sz w:val="18"/>
                <w:szCs w:val="18"/>
                <w:lang w:eastAsia="pt-PT"/>
              </w:rPr>
              <w:br/>
              <w:t>Neste caso, à medida que o tempo vai decorrendo o risco de incobrabilidade vai aumentando.</w:t>
            </w:r>
            <w:r w:rsidRPr="00C939B1">
              <w:rPr>
                <w:rFonts w:ascii="Trebuchet MS" w:eastAsia="Times New Roman" w:hAnsi="Trebuchet MS"/>
                <w:color w:val="586D6F"/>
                <w:sz w:val="18"/>
                <w:szCs w:val="18"/>
                <w:lang w:eastAsia="pt-PT"/>
              </w:rPr>
              <w:br/>
              <w:t>Assim, estabelece o n.º 2 do artigo 34º do CIRC, as percentagens aceites fiscalmente tendo em conta o número de meses da mora do crédito:</w:t>
            </w:r>
          </w:p>
          <w:p w:rsidR="00C939B1" w:rsidRPr="00C939B1" w:rsidRDefault="00C939B1" w:rsidP="00C939B1">
            <w:pPr>
              <w:spacing w:beforeAutospacing="1" w:after="100" w:afterAutospacing="1" w:line="195" w:lineRule="atLeast"/>
              <w:jc w:val="both"/>
              <w:rPr>
                <w:rFonts w:ascii="Trebuchet MS" w:eastAsia="Times New Roman" w:hAnsi="Trebuchet MS"/>
                <w:color w:val="586D6F"/>
                <w:sz w:val="18"/>
                <w:szCs w:val="18"/>
                <w:lang w:eastAsia="pt-PT"/>
              </w:rPr>
            </w:pPr>
            <w:r w:rsidRPr="00C939B1">
              <w:rPr>
                <w:rFonts w:ascii="Trebuchet MS" w:eastAsia="Times New Roman" w:hAnsi="Trebuchet MS"/>
                <w:color w:val="586D6F"/>
                <w:sz w:val="18"/>
                <w:szCs w:val="18"/>
                <w:lang w:eastAsia="pt-PT"/>
              </w:rPr>
              <w:t>• 25% para créditos em mora há mais de 6 meses e até 12 meses; </w:t>
            </w:r>
            <w:r w:rsidRPr="00C939B1">
              <w:rPr>
                <w:rFonts w:ascii="Trebuchet MS" w:eastAsia="Times New Roman" w:hAnsi="Trebuchet MS"/>
                <w:color w:val="586D6F"/>
                <w:sz w:val="18"/>
                <w:szCs w:val="18"/>
                <w:lang w:eastAsia="pt-PT"/>
              </w:rPr>
              <w:br/>
              <w:t>• 50% para créditos em mora há mais de 12 meses e até 18 meses; </w:t>
            </w:r>
            <w:r w:rsidRPr="00C939B1">
              <w:rPr>
                <w:rFonts w:ascii="Trebuchet MS" w:eastAsia="Times New Roman" w:hAnsi="Trebuchet MS"/>
                <w:color w:val="586D6F"/>
                <w:sz w:val="18"/>
                <w:szCs w:val="18"/>
                <w:lang w:eastAsia="pt-PT"/>
              </w:rPr>
              <w:br/>
              <w:t>• 75% para créditos em mora há mais de 18 meses e até 24 meses; </w:t>
            </w:r>
            <w:r w:rsidRPr="00C939B1">
              <w:rPr>
                <w:rFonts w:ascii="Trebuchet MS" w:eastAsia="Times New Roman" w:hAnsi="Trebuchet MS"/>
                <w:color w:val="586D6F"/>
                <w:sz w:val="18"/>
                <w:szCs w:val="18"/>
                <w:lang w:eastAsia="pt-PT"/>
              </w:rPr>
              <w:br/>
              <w:t>• 100% para créditos em mora há mais de 24 meses.</w:t>
            </w:r>
          </w:p>
          <w:p w:rsidR="00C939B1" w:rsidRPr="00C939B1" w:rsidRDefault="00C939B1" w:rsidP="00C939B1">
            <w:pPr>
              <w:spacing w:before="100" w:beforeAutospacing="1" w:after="100" w:afterAutospacing="1" w:line="195" w:lineRule="atLeast"/>
              <w:jc w:val="both"/>
              <w:rPr>
                <w:rFonts w:ascii="Trebuchet MS" w:eastAsia="Times New Roman" w:hAnsi="Trebuchet MS"/>
                <w:color w:val="586D6F"/>
                <w:sz w:val="18"/>
                <w:szCs w:val="18"/>
                <w:lang w:eastAsia="pt-PT"/>
              </w:rPr>
            </w:pPr>
            <w:r w:rsidRPr="00C939B1">
              <w:rPr>
                <w:rFonts w:ascii="Trebuchet MS" w:eastAsia="Times New Roman" w:hAnsi="Trebuchet MS"/>
                <w:color w:val="586D6F"/>
                <w:sz w:val="18"/>
                <w:szCs w:val="18"/>
                <w:lang w:eastAsia="pt-PT"/>
              </w:rPr>
              <w:t>Para mais informação consultar: </w:t>
            </w:r>
            <w:r w:rsidRPr="00C939B1">
              <w:rPr>
                <w:rFonts w:ascii="Trebuchet MS" w:eastAsia="Times New Roman" w:hAnsi="Trebuchet MS"/>
                <w:color w:val="586D6F"/>
                <w:sz w:val="18"/>
                <w:szCs w:val="18"/>
                <w:lang w:eastAsia="pt-PT"/>
              </w:rPr>
              <w:br/>
              <w:t>Art.º 34.º do CIRC </w:t>
            </w:r>
            <w:r w:rsidRPr="00C939B1">
              <w:rPr>
                <w:rFonts w:ascii="Trebuchet MS" w:eastAsia="Times New Roman" w:hAnsi="Trebuchet MS"/>
                <w:color w:val="586D6F"/>
                <w:sz w:val="18"/>
                <w:szCs w:val="18"/>
                <w:lang w:eastAsia="pt-PT"/>
              </w:rPr>
              <w:br/>
              <w:t>Art.º 35º do CIRC</w:t>
            </w:r>
            <w:r w:rsidRPr="00C939B1">
              <w:rPr>
                <w:rFonts w:ascii="Trebuchet MS" w:eastAsia="Times New Roman" w:hAnsi="Trebuchet MS"/>
                <w:color w:val="586D6F"/>
                <w:sz w:val="18"/>
                <w:szCs w:val="18"/>
                <w:lang w:eastAsia="pt-PT"/>
              </w:rPr>
              <w:br/>
              <w:t>Art.º 805.º do Código Civil</w:t>
            </w:r>
          </w:p>
        </w:tc>
      </w:tr>
      <w:tr w:rsidR="00751A5E" w:rsidRPr="00751A5E" w:rsidTr="00751A5E">
        <w:trPr>
          <w:gridAfter w:val="1"/>
          <w:wAfter w:w="225" w:type="dxa"/>
          <w:tblCellSpacing w:w="0" w:type="dxa"/>
        </w:trPr>
        <w:tc>
          <w:tcPr>
            <w:tcW w:w="858" w:type="dxa"/>
            <w:gridSpan w:val="2"/>
            <w:shd w:val="clear" w:color="auto" w:fill="FFFFFF"/>
            <w:tcMar>
              <w:top w:w="0" w:type="dxa"/>
              <w:left w:w="225" w:type="dxa"/>
              <w:bottom w:w="180" w:type="dxa"/>
              <w:right w:w="0" w:type="dxa"/>
            </w:tcMar>
            <w:vAlign w:val="center"/>
            <w:hideMark/>
          </w:tcPr>
          <w:p w:rsidR="00751A5E" w:rsidRDefault="00751A5E" w:rsidP="00751A5E">
            <w:pPr>
              <w:spacing w:before="225" w:after="0" w:line="540" w:lineRule="atLeast"/>
              <w:rPr>
                <w:rFonts w:ascii="Trebuchet MS" w:eastAsia="Times New Roman" w:hAnsi="Trebuchet MS"/>
                <w:b/>
                <w:bCs/>
                <w:color w:val="AECAD8"/>
                <w:sz w:val="54"/>
                <w:szCs w:val="54"/>
                <w:lang w:eastAsia="pt-PT"/>
              </w:rPr>
            </w:pPr>
          </w:p>
          <w:p w:rsidR="00751A5E" w:rsidRPr="00751A5E" w:rsidRDefault="00751A5E" w:rsidP="00751A5E">
            <w:pPr>
              <w:spacing w:before="225" w:after="0" w:line="540" w:lineRule="atLeast"/>
              <w:rPr>
                <w:rFonts w:ascii="Trebuchet MS" w:eastAsia="Times New Roman" w:hAnsi="Trebuchet MS"/>
                <w:b/>
                <w:bCs/>
                <w:color w:val="AECAD8"/>
                <w:sz w:val="54"/>
                <w:szCs w:val="54"/>
                <w:lang w:eastAsia="pt-PT"/>
              </w:rPr>
            </w:pPr>
            <w:bookmarkStart w:id="0" w:name="_GoBack"/>
            <w:bookmarkEnd w:id="0"/>
            <w:r w:rsidRPr="00751A5E">
              <w:rPr>
                <w:rFonts w:ascii="Trebuchet MS" w:eastAsia="Times New Roman" w:hAnsi="Trebuchet MS"/>
                <w:b/>
                <w:bCs/>
                <w:color w:val="AECAD8"/>
                <w:sz w:val="54"/>
                <w:szCs w:val="54"/>
                <w:lang w:eastAsia="pt-PT"/>
              </w:rPr>
              <w:t>30</w:t>
            </w:r>
          </w:p>
        </w:tc>
        <w:tc>
          <w:tcPr>
            <w:tcW w:w="0" w:type="auto"/>
            <w:shd w:val="clear" w:color="auto" w:fill="FFFFFF"/>
            <w:tcMar>
              <w:top w:w="0" w:type="dxa"/>
              <w:left w:w="150" w:type="dxa"/>
              <w:bottom w:w="225" w:type="dxa"/>
              <w:right w:w="150" w:type="dxa"/>
            </w:tcMar>
            <w:vAlign w:val="bottom"/>
            <w:hideMark/>
          </w:tcPr>
          <w:p w:rsidR="00751A5E" w:rsidRPr="00751A5E" w:rsidRDefault="00751A5E" w:rsidP="00751A5E">
            <w:pPr>
              <w:spacing w:before="225" w:after="0" w:line="225" w:lineRule="atLeast"/>
              <w:rPr>
                <w:rFonts w:ascii="Trebuchet MS" w:eastAsia="Times New Roman" w:hAnsi="Trebuchet MS"/>
                <w:b/>
                <w:bCs/>
                <w:color w:val="9AC516"/>
                <w:sz w:val="21"/>
                <w:szCs w:val="21"/>
                <w:lang w:eastAsia="pt-PT"/>
              </w:rPr>
            </w:pPr>
            <w:r w:rsidRPr="00751A5E">
              <w:rPr>
                <w:rFonts w:ascii="Trebuchet MS" w:eastAsia="Times New Roman" w:hAnsi="Trebuchet MS"/>
                <w:b/>
                <w:bCs/>
                <w:color w:val="9AC516"/>
                <w:sz w:val="21"/>
                <w:szCs w:val="21"/>
                <w:lang w:eastAsia="pt-PT"/>
              </w:rPr>
              <w:t>Créditos incobráveis</w:t>
            </w:r>
          </w:p>
        </w:tc>
      </w:tr>
    </w:tbl>
    <w:p w:rsidR="00751A5E" w:rsidRPr="00751A5E" w:rsidRDefault="00751A5E" w:rsidP="00751A5E">
      <w:pPr>
        <w:spacing w:after="0" w:line="240" w:lineRule="auto"/>
        <w:rPr>
          <w:rFonts w:ascii="Times New Roman" w:eastAsia="Times New Roman" w:hAnsi="Times New Roman"/>
          <w:vanish/>
          <w:sz w:val="24"/>
          <w:szCs w:val="24"/>
          <w:lang w:eastAsia="pt-PT"/>
        </w:rPr>
      </w:pPr>
    </w:p>
    <w:tbl>
      <w:tblPr>
        <w:tblW w:w="9690" w:type="dxa"/>
        <w:tblCellSpacing w:w="0" w:type="dxa"/>
        <w:shd w:val="clear" w:color="auto" w:fill="FFFFFF"/>
        <w:tblCellMar>
          <w:left w:w="0" w:type="dxa"/>
          <w:right w:w="0" w:type="dxa"/>
        </w:tblCellMar>
        <w:tblLook w:val="04A0" w:firstRow="1" w:lastRow="0" w:firstColumn="1" w:lastColumn="0" w:noHBand="0" w:noVBand="1"/>
      </w:tblPr>
      <w:tblGrid>
        <w:gridCol w:w="9690"/>
      </w:tblGrid>
      <w:tr w:rsidR="00751A5E" w:rsidRPr="00751A5E" w:rsidTr="00751A5E">
        <w:trPr>
          <w:tblCellSpacing w:w="0" w:type="dxa"/>
        </w:trPr>
        <w:tc>
          <w:tcPr>
            <w:tcW w:w="14955" w:type="dxa"/>
            <w:shd w:val="clear" w:color="auto" w:fill="FFFFFF"/>
            <w:vAlign w:val="center"/>
            <w:hideMark/>
          </w:tcPr>
          <w:p w:rsidR="00751A5E" w:rsidRPr="00751A5E" w:rsidRDefault="00751A5E" w:rsidP="00751A5E">
            <w:pPr>
              <w:spacing w:before="100" w:beforeAutospacing="1" w:after="100" w:afterAutospacing="1" w:line="195" w:lineRule="atLeast"/>
              <w:jc w:val="both"/>
              <w:rPr>
                <w:rFonts w:ascii="Trebuchet MS" w:eastAsia="Times New Roman" w:hAnsi="Trebuchet MS"/>
                <w:color w:val="586D6F"/>
                <w:sz w:val="18"/>
                <w:szCs w:val="18"/>
                <w:lang w:eastAsia="pt-PT"/>
              </w:rPr>
            </w:pPr>
            <w:r w:rsidRPr="00751A5E">
              <w:rPr>
                <w:rFonts w:ascii="Trebuchet MS" w:eastAsia="Times New Roman" w:hAnsi="Trebuchet MS"/>
                <w:color w:val="586D6F"/>
                <w:sz w:val="18"/>
                <w:szCs w:val="18"/>
                <w:lang w:eastAsia="pt-PT"/>
              </w:rPr>
              <w:t>São directamente aceites como custo do exercício, na parte resultante de processo especial de recuperação da empresa e protecção de credores ou de processo de execução, falência ou insolvência, desde que não seja admitida a constituição de provisão ou, sendo-o, esta se mostre insuficiente.</w:t>
            </w:r>
            <w:r w:rsidRPr="00751A5E">
              <w:rPr>
                <w:rFonts w:ascii="Trebuchet MS" w:eastAsia="Times New Roman" w:hAnsi="Trebuchet MS"/>
                <w:color w:val="586D6F"/>
                <w:sz w:val="18"/>
                <w:szCs w:val="18"/>
                <w:lang w:eastAsia="pt-PT"/>
              </w:rPr>
              <w:br/>
            </w:r>
            <w:r w:rsidRPr="00751A5E">
              <w:rPr>
                <w:rFonts w:ascii="Trebuchet MS" w:eastAsia="Times New Roman" w:hAnsi="Trebuchet MS"/>
                <w:color w:val="586D6F"/>
                <w:sz w:val="18"/>
                <w:szCs w:val="18"/>
                <w:lang w:eastAsia="pt-PT"/>
              </w:rPr>
              <w:br/>
              <w:t>Trata-se de créditos em que deixou de existir a incerteza quanto à sua incobrabilidade, sabendo-se de antemão que não serão cobrados. São portanto custos certos ao contrário dos créditos de cobrança duvidosa que são custos potenciais e para os quais é admitida a constituição de provisão.</w:t>
            </w:r>
            <w:r w:rsidRPr="00751A5E">
              <w:rPr>
                <w:rFonts w:ascii="Trebuchet MS" w:eastAsia="Times New Roman" w:hAnsi="Trebuchet MS"/>
                <w:color w:val="586D6F"/>
                <w:sz w:val="18"/>
                <w:szCs w:val="18"/>
                <w:lang w:eastAsia="pt-PT"/>
              </w:rPr>
              <w:br/>
            </w:r>
            <w:r w:rsidRPr="00751A5E">
              <w:rPr>
                <w:rFonts w:ascii="Trebuchet MS" w:eastAsia="Times New Roman" w:hAnsi="Trebuchet MS"/>
                <w:color w:val="586D6F"/>
                <w:sz w:val="18"/>
                <w:szCs w:val="18"/>
                <w:lang w:eastAsia="pt-PT"/>
              </w:rPr>
              <w:br/>
              <w:t>Para mais informação consultar: art.º 39.º do CIRC</w:t>
            </w:r>
          </w:p>
        </w:tc>
      </w:tr>
    </w:tbl>
    <w:p w:rsidR="00722DC8" w:rsidRDefault="00722DC8"/>
    <w:sectPr w:rsidR="00722D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840"/>
    <w:rsid w:val="00271840"/>
    <w:rsid w:val="00722DC8"/>
    <w:rsid w:val="00751A5E"/>
    <w:rsid w:val="00C939B1"/>
    <w:rsid w:val="00E2385B"/>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P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85B"/>
    <w:pPr>
      <w:spacing w:after="200" w:line="276" w:lineRule="auto"/>
    </w:pPr>
    <w:rPr>
      <w:sz w:val="22"/>
      <w:szCs w:val="22"/>
    </w:rPr>
  </w:style>
  <w:style w:type="paragraph" w:styleId="Cabealho2">
    <w:name w:val="heading 2"/>
    <w:basedOn w:val="Normal"/>
    <w:next w:val="Normal"/>
    <w:link w:val="Cabealho2Carcter"/>
    <w:unhideWhenUsed/>
    <w:qFormat/>
    <w:rsid w:val="00E2385B"/>
    <w:pPr>
      <w:keepNext/>
      <w:spacing w:after="0" w:line="240" w:lineRule="auto"/>
      <w:jc w:val="center"/>
      <w:outlineLvl w:val="1"/>
    </w:pPr>
    <w:rPr>
      <w:rFonts w:ascii="Times New Roman" w:eastAsia="Times New Roman" w:hAnsi="Times New Roman"/>
      <w:b/>
      <w:bCs/>
      <w:sz w:val="32"/>
      <w:szCs w:val="24"/>
      <w:u w:val="singl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cter">
    <w:name w:val="Cabeçalho 2 Carácter"/>
    <w:link w:val="Cabealho2"/>
    <w:rsid w:val="00E2385B"/>
    <w:rPr>
      <w:rFonts w:ascii="Times New Roman" w:eastAsia="Times New Roman" w:hAnsi="Times New Roman"/>
      <w:b/>
      <w:bCs/>
      <w:sz w:val="32"/>
      <w:szCs w:val="24"/>
      <w:u w:val="single"/>
    </w:rPr>
  </w:style>
  <w:style w:type="paragraph" w:styleId="SemEspaamento">
    <w:name w:val="No Spacing"/>
    <w:uiPriority w:val="1"/>
    <w:qFormat/>
    <w:rsid w:val="00E2385B"/>
    <w:rPr>
      <w:sz w:val="22"/>
      <w:szCs w:val="22"/>
    </w:rPr>
  </w:style>
  <w:style w:type="paragraph" w:styleId="NormalWeb">
    <w:name w:val="Normal (Web)"/>
    <w:basedOn w:val="Normal"/>
    <w:uiPriority w:val="99"/>
    <w:unhideWhenUsed/>
    <w:rsid w:val="00C939B1"/>
    <w:pPr>
      <w:spacing w:before="100" w:beforeAutospacing="1" w:after="100" w:afterAutospacing="1" w:line="240" w:lineRule="auto"/>
    </w:pPr>
    <w:rPr>
      <w:rFonts w:ascii="Times New Roman" w:eastAsia="Times New Roman" w:hAnsi="Times New Roman"/>
      <w:sz w:val="24"/>
      <w:szCs w:val="24"/>
      <w:lang w:eastAsia="pt-PT"/>
    </w:rPr>
  </w:style>
  <w:style w:type="character" w:customStyle="1" w:styleId="apple-converted-space">
    <w:name w:val="apple-converted-space"/>
    <w:basedOn w:val="Tipodeletrapredefinidodopargrafo"/>
    <w:rsid w:val="00C939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P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85B"/>
    <w:pPr>
      <w:spacing w:after="200" w:line="276" w:lineRule="auto"/>
    </w:pPr>
    <w:rPr>
      <w:sz w:val="22"/>
      <w:szCs w:val="22"/>
    </w:rPr>
  </w:style>
  <w:style w:type="paragraph" w:styleId="Cabealho2">
    <w:name w:val="heading 2"/>
    <w:basedOn w:val="Normal"/>
    <w:next w:val="Normal"/>
    <w:link w:val="Cabealho2Carcter"/>
    <w:unhideWhenUsed/>
    <w:qFormat/>
    <w:rsid w:val="00E2385B"/>
    <w:pPr>
      <w:keepNext/>
      <w:spacing w:after="0" w:line="240" w:lineRule="auto"/>
      <w:jc w:val="center"/>
      <w:outlineLvl w:val="1"/>
    </w:pPr>
    <w:rPr>
      <w:rFonts w:ascii="Times New Roman" w:eastAsia="Times New Roman" w:hAnsi="Times New Roman"/>
      <w:b/>
      <w:bCs/>
      <w:sz w:val="32"/>
      <w:szCs w:val="24"/>
      <w:u w:val="singl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2Carcter">
    <w:name w:val="Cabeçalho 2 Carácter"/>
    <w:link w:val="Cabealho2"/>
    <w:rsid w:val="00E2385B"/>
    <w:rPr>
      <w:rFonts w:ascii="Times New Roman" w:eastAsia="Times New Roman" w:hAnsi="Times New Roman"/>
      <w:b/>
      <w:bCs/>
      <w:sz w:val="32"/>
      <w:szCs w:val="24"/>
      <w:u w:val="single"/>
    </w:rPr>
  </w:style>
  <w:style w:type="paragraph" w:styleId="SemEspaamento">
    <w:name w:val="No Spacing"/>
    <w:uiPriority w:val="1"/>
    <w:qFormat/>
    <w:rsid w:val="00E2385B"/>
    <w:rPr>
      <w:sz w:val="22"/>
      <w:szCs w:val="22"/>
    </w:rPr>
  </w:style>
  <w:style w:type="paragraph" w:styleId="NormalWeb">
    <w:name w:val="Normal (Web)"/>
    <w:basedOn w:val="Normal"/>
    <w:uiPriority w:val="99"/>
    <w:unhideWhenUsed/>
    <w:rsid w:val="00C939B1"/>
    <w:pPr>
      <w:spacing w:before="100" w:beforeAutospacing="1" w:after="100" w:afterAutospacing="1" w:line="240" w:lineRule="auto"/>
    </w:pPr>
    <w:rPr>
      <w:rFonts w:ascii="Times New Roman" w:eastAsia="Times New Roman" w:hAnsi="Times New Roman"/>
      <w:sz w:val="24"/>
      <w:szCs w:val="24"/>
      <w:lang w:eastAsia="pt-PT"/>
    </w:rPr>
  </w:style>
  <w:style w:type="character" w:customStyle="1" w:styleId="apple-converted-space">
    <w:name w:val="apple-converted-space"/>
    <w:basedOn w:val="Tipodeletrapredefinidodopargrafo"/>
    <w:rsid w:val="00C93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803110">
      <w:bodyDiv w:val="1"/>
      <w:marLeft w:val="0"/>
      <w:marRight w:val="0"/>
      <w:marTop w:val="0"/>
      <w:marBottom w:val="0"/>
      <w:divBdr>
        <w:top w:val="none" w:sz="0" w:space="0" w:color="auto"/>
        <w:left w:val="none" w:sz="0" w:space="0" w:color="auto"/>
        <w:bottom w:val="none" w:sz="0" w:space="0" w:color="auto"/>
        <w:right w:val="none" w:sz="0" w:space="0" w:color="auto"/>
      </w:divBdr>
      <w:divsChild>
        <w:div w:id="126464896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9925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413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383</Words>
  <Characters>2073</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
  <dc:description/>
  <cp:lastModifiedBy>artur</cp:lastModifiedBy>
  <cp:revision>3</cp:revision>
  <dcterms:created xsi:type="dcterms:W3CDTF">2011-11-17T09:24:00Z</dcterms:created>
  <dcterms:modified xsi:type="dcterms:W3CDTF">2011-11-17T09:33:00Z</dcterms:modified>
</cp:coreProperties>
</file>