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b/>
          <w:bCs/>
          <w:color w:val="333333"/>
          <w:sz w:val="17"/>
          <w:szCs w:val="17"/>
          <w:lang w:eastAsia="pt-PT"/>
        </w:rPr>
        <w:t>Contabilização</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As dívidas de terceiros, pela sua natureza, correm elevados riscos de se degradarem. Assim, e de acordo com o parágrafo 23 da NCRF 27, sempre que a empresa constate haver forte probabilidade de uma dívida a receber se torne de duvidoso recebimento, a empresa deve acautelar-se e, para isso, reconhecer uma perda por imparidade na demonstração dos resultados.</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Se, num período posterior, a quantia de perda por imparidade anteriormente reconhecida diminuir e tal diminuição possa estar relacionada com o evento ocorrido, a entidade deve reverter a imparidade. Contudo, a reversão não poderá resultar numa quantia escriturada do activo financeiro superior àquela que seria o custo amortizado do referido activo, caso a perda por imparidade não tivesse sido anteriormente reconhecida. A entidade deverá reconhecer a quantia da reversão na demonstração dos resultados, sendo a reversão de imparidade em instrumentos de capital próprio proibida.</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Apesar das dificuldades de controlo, quer da razoabilidade da decisão, quer da quantificação, são fiscalmente dedutíveis as perdas por imparidade que tiverem por fim a cobertura de créditos resultantes da actividade normal que, no fim do exercício, possam ser considerados de cobrança duvidosa e sejam evidenciados como tal na contabilidade. Quando deixar de se verificar a sua necessidade, serão reflectidas no lucro tributável do período de tributação respectivo. São considerados créditos de cobrança duvidosa, quando estejam reunidos os requisitos constantes do artigo 36.º (1) do CIRC, de entre os quais salientamos:</w:t>
      </w:r>
    </w:p>
    <w:p w:rsidR="00286406" w:rsidRPr="00286406" w:rsidRDefault="00286406" w:rsidP="00286406">
      <w:pPr>
        <w:numPr>
          <w:ilvl w:val="0"/>
          <w:numId w:val="1"/>
        </w:numPr>
        <w:shd w:val="clear" w:color="auto" w:fill="FFFFFF"/>
        <w:spacing w:after="0" w:line="210" w:lineRule="atLeast"/>
        <w:ind w:left="0"/>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A existência de processo especial de recuperação de empresas e protecção de credores ou processo de execução, falência ou insolvência;</w:t>
      </w:r>
    </w:p>
    <w:p w:rsidR="00286406" w:rsidRPr="00286406" w:rsidRDefault="00286406" w:rsidP="00286406">
      <w:pPr>
        <w:numPr>
          <w:ilvl w:val="0"/>
          <w:numId w:val="1"/>
        </w:numPr>
        <w:shd w:val="clear" w:color="auto" w:fill="FFFFFF"/>
        <w:spacing w:after="0" w:line="210" w:lineRule="atLeast"/>
        <w:ind w:left="0"/>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Os créditos tenham sido reclamados judicialmente;</w:t>
      </w:r>
    </w:p>
    <w:p w:rsidR="00286406" w:rsidRPr="00286406" w:rsidRDefault="00286406" w:rsidP="00286406">
      <w:pPr>
        <w:numPr>
          <w:ilvl w:val="0"/>
          <w:numId w:val="1"/>
        </w:numPr>
        <w:shd w:val="clear" w:color="auto" w:fill="FFFFFF"/>
        <w:spacing w:after="0" w:line="210" w:lineRule="atLeast"/>
        <w:ind w:left="0"/>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Os créditos estejam em mora há mais de seis meses e existam provas de diligências para o seu recebimento.</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É importante a entidade reunir documentação de suporte, pois a administração fiscal é bastante rigorosa quanto à justificação de cobrança duvidosa.</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Contabilisticamente, no caso das dívidas a receber relacionadas com operações da actividade operacional, a conta a debitar é a 6511 Perdas por imparidade – Em dívidas a receber – Clientes por contrapartida da conta 219 Clientes – Perdas por imparidade acumuladas. Uma vez que a contabilidade deve reflectir, o mais verdadeiramente possível, a posição financeira da empresa, as dívidas dos clientes que foram objecto de reconhecimento de perdas por imparidade devem ficar individualizadas na conta 219 Clientes – Perdas por imparidade acumuladas, subdividindo a conta por cada cliente nessa situação.</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No caso das dívidas de difícil cobrança que não resultam de operações com clientes, a conta de gastos a reconhecer a perda por imparidade é a conta 6512 Perdas por imparidade – Em dívidas a receber – Outros devedores. Quando deixar de se verificar o motivo que originou a perda por imparidade, ou porque a dívida foi recebida ou porque a dívida foi considerada incobrável a conta que registava a perda por imparidade, deve ser anulada (NCRF 27, parágrafo 28).</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 xml:space="preserve">Se a dívida a receber foi anteriormente considerada em situação de imparidade e reconhecida numa das seguintes contas: 219, 229, 239, 269 a 279 – Perdas por imparidade acumuladas, o </w:t>
      </w:r>
      <w:proofErr w:type="spellStart"/>
      <w:r w:rsidRPr="00286406">
        <w:rPr>
          <w:rFonts w:ascii="Tahoma" w:eastAsia="Times New Roman" w:hAnsi="Tahoma" w:cs="Tahoma"/>
          <w:color w:val="333333"/>
          <w:sz w:val="17"/>
          <w:szCs w:val="17"/>
          <w:lang w:eastAsia="pt-PT"/>
        </w:rPr>
        <w:t>desreconhecimento</w:t>
      </w:r>
      <w:proofErr w:type="spellEnd"/>
      <w:r w:rsidRPr="00286406">
        <w:rPr>
          <w:rFonts w:ascii="Tahoma" w:eastAsia="Times New Roman" w:hAnsi="Tahoma" w:cs="Tahoma"/>
          <w:color w:val="333333"/>
          <w:sz w:val="17"/>
          <w:szCs w:val="17"/>
          <w:lang w:eastAsia="pt-PT"/>
        </w:rPr>
        <w:t xml:space="preserve"> (anulação) da dívida é feito por contrapartida da correspondente conta da classe 2, que contém o débito do reconhecimento inicial da dívida (conferir notas de enquadramento das contas referidas).</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A anulação da conta de perdas por imparidade acumuladas é feita por crédito na conta 76211 Reversões – De perdas por imparidade – Em dívidas a receber – Clientes, caso se trate de dívidas de clientes e na conta 76212 Reversões – De perdas por imparidade – Em dívidas a receber – Outros devedores, no caso de outros devedores que não clientes.</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 xml:space="preserve">Actualmente, no SNC, de acordo com o estipulado na nota de enquadramento da conta 683 – Dívidas incobráveis, se a dívida a receber não foi anteriormente considerada em situação de imparidade, o </w:t>
      </w:r>
      <w:proofErr w:type="spellStart"/>
      <w:r w:rsidRPr="00286406">
        <w:rPr>
          <w:rFonts w:ascii="Tahoma" w:eastAsia="Times New Roman" w:hAnsi="Tahoma" w:cs="Tahoma"/>
          <w:color w:val="333333"/>
          <w:sz w:val="17"/>
          <w:szCs w:val="17"/>
          <w:lang w:eastAsia="pt-PT"/>
        </w:rPr>
        <w:t>desreconhecimento</w:t>
      </w:r>
      <w:proofErr w:type="spellEnd"/>
      <w:r w:rsidRPr="00286406">
        <w:rPr>
          <w:rFonts w:ascii="Tahoma" w:eastAsia="Times New Roman" w:hAnsi="Tahoma" w:cs="Tahoma"/>
          <w:color w:val="333333"/>
          <w:sz w:val="17"/>
          <w:szCs w:val="17"/>
          <w:lang w:eastAsia="pt-PT"/>
        </w:rPr>
        <w:t xml:space="preserve"> (anulação) é feito por débito da conta de gastos, 683 Outros gastos e perdas – Dívidas incobráveis, por contrapartida da correspondente conta da classe 2 – Contas a receber e a pagar (conferir nota de enquadramento da conta 683).</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Quando deixarem de existir as situações que originaram o reconhecimento da dívida incobrável, será creditada a conta 783 – Outros rendimentos e ganhos – Recuperação de dívidas a receber.</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b/>
          <w:bCs/>
          <w:color w:val="333333"/>
          <w:sz w:val="17"/>
          <w:szCs w:val="17"/>
          <w:lang w:eastAsia="pt-PT"/>
        </w:rPr>
        <w:t>Escrituração</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lastRenderedPageBreak/>
        <w:t>Pela quantia que a empresa não espera receber de clientes:</w:t>
      </w:r>
    </w:p>
    <w:tbl>
      <w:tblPr>
        <w:tblW w:w="0" w:type="auto"/>
        <w:tblCellMar>
          <w:top w:w="15" w:type="dxa"/>
          <w:left w:w="15" w:type="dxa"/>
          <w:bottom w:w="15" w:type="dxa"/>
          <w:right w:w="15" w:type="dxa"/>
        </w:tblCellMar>
        <w:tblLook w:val="04A0" w:firstRow="1" w:lastRow="0" w:firstColumn="1" w:lastColumn="0" w:noHBand="0" w:noVBand="1"/>
      </w:tblPr>
      <w:tblGrid>
        <w:gridCol w:w="415"/>
        <w:gridCol w:w="2492"/>
        <w:gridCol w:w="478"/>
        <w:gridCol w:w="525"/>
      </w:tblGrid>
      <w:tr w:rsidR="00286406" w:rsidRPr="00286406" w:rsidTr="00286406">
        <w:trPr>
          <w:tblHeader/>
        </w:trPr>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Conta</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Descrição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Débito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Crédito</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65</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Perdas por Imparidade</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651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Em dívidas a receber</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6511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proofErr w:type="gramStart"/>
            <w:r w:rsidRPr="00286406">
              <w:rPr>
                <w:rFonts w:ascii="Times New Roman" w:eastAsia="Times New Roman" w:hAnsi="Times New Roman"/>
                <w:color w:val="333333"/>
                <w:sz w:val="17"/>
                <w:szCs w:val="17"/>
                <w:lang w:eastAsia="pt-PT"/>
              </w:rPr>
              <w:t>x</w:t>
            </w:r>
            <w:proofErr w:type="gramEnd"/>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219</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Perdas por Imparidade Acumuladas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proofErr w:type="gramStart"/>
            <w:r w:rsidRPr="00286406">
              <w:rPr>
                <w:rFonts w:ascii="Times New Roman" w:eastAsia="Times New Roman" w:hAnsi="Times New Roman"/>
                <w:color w:val="333333"/>
                <w:sz w:val="17"/>
                <w:szCs w:val="17"/>
                <w:lang w:eastAsia="pt-PT"/>
              </w:rPr>
              <w:t>x</w:t>
            </w:r>
            <w:proofErr w:type="gramEnd"/>
          </w:p>
        </w:tc>
      </w:tr>
    </w:tbl>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Pelo reconhecimento do crédito incobrável:</w:t>
      </w:r>
    </w:p>
    <w:tbl>
      <w:tblPr>
        <w:tblW w:w="0" w:type="auto"/>
        <w:tblCellMar>
          <w:top w:w="15" w:type="dxa"/>
          <w:left w:w="15" w:type="dxa"/>
          <w:bottom w:w="15" w:type="dxa"/>
          <w:right w:w="15" w:type="dxa"/>
        </w:tblCellMar>
        <w:tblLook w:val="04A0" w:firstRow="1" w:lastRow="0" w:firstColumn="1" w:lastColumn="0" w:noHBand="0" w:noVBand="1"/>
      </w:tblPr>
      <w:tblGrid>
        <w:gridCol w:w="415"/>
        <w:gridCol w:w="2492"/>
        <w:gridCol w:w="478"/>
        <w:gridCol w:w="525"/>
      </w:tblGrid>
      <w:tr w:rsidR="00286406" w:rsidRPr="00286406" w:rsidTr="00286406">
        <w:trPr>
          <w:tblHeader/>
        </w:trPr>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Conta</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Descrição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Débito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Crédito</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219</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Perdas por Imparidade Acumuladas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proofErr w:type="gramStart"/>
            <w:r w:rsidRPr="00286406">
              <w:rPr>
                <w:rFonts w:ascii="Times New Roman" w:eastAsia="Times New Roman" w:hAnsi="Times New Roman"/>
                <w:color w:val="333333"/>
                <w:sz w:val="17"/>
                <w:szCs w:val="17"/>
                <w:lang w:eastAsia="pt-PT"/>
              </w:rPr>
              <w:t>x</w:t>
            </w:r>
            <w:proofErr w:type="gramEnd"/>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68</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Outros Gastos e Perdas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683</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Dívidas Incobráveis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proofErr w:type="gramStart"/>
            <w:r w:rsidRPr="00286406">
              <w:rPr>
                <w:rFonts w:ascii="Times New Roman" w:eastAsia="Times New Roman" w:hAnsi="Times New Roman"/>
                <w:color w:val="333333"/>
                <w:sz w:val="17"/>
                <w:szCs w:val="17"/>
                <w:lang w:eastAsia="pt-PT"/>
              </w:rPr>
              <w:t>x</w:t>
            </w:r>
            <w:proofErr w:type="gramEnd"/>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 c/c</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2111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 Gerais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proofErr w:type="gramStart"/>
            <w:r w:rsidRPr="00286406">
              <w:rPr>
                <w:rFonts w:ascii="Times New Roman" w:eastAsia="Times New Roman" w:hAnsi="Times New Roman"/>
                <w:color w:val="333333"/>
                <w:sz w:val="17"/>
                <w:szCs w:val="17"/>
                <w:lang w:eastAsia="pt-PT"/>
              </w:rPr>
              <w:t>x</w:t>
            </w:r>
            <w:proofErr w:type="gramEnd"/>
          </w:p>
        </w:tc>
      </w:tr>
    </w:tbl>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Pela recuperação da dívida a receber:</w:t>
      </w:r>
    </w:p>
    <w:tbl>
      <w:tblPr>
        <w:tblW w:w="0" w:type="auto"/>
        <w:tblCellMar>
          <w:top w:w="15" w:type="dxa"/>
          <w:left w:w="15" w:type="dxa"/>
          <w:bottom w:w="15" w:type="dxa"/>
          <w:right w:w="15" w:type="dxa"/>
        </w:tblCellMar>
        <w:tblLook w:val="04A0" w:firstRow="1" w:lastRow="0" w:firstColumn="1" w:lastColumn="0" w:noHBand="0" w:noVBand="1"/>
      </w:tblPr>
      <w:tblGrid>
        <w:gridCol w:w="415"/>
        <w:gridCol w:w="2373"/>
        <w:gridCol w:w="478"/>
        <w:gridCol w:w="525"/>
      </w:tblGrid>
      <w:tr w:rsidR="00286406" w:rsidRPr="00286406" w:rsidTr="00286406">
        <w:trPr>
          <w:tblHeader/>
        </w:trPr>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Conta</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Descrição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Débito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Crédito</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12</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Depósitos à ordem</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proofErr w:type="gramStart"/>
            <w:r w:rsidRPr="00286406">
              <w:rPr>
                <w:rFonts w:ascii="Times New Roman" w:eastAsia="Times New Roman" w:hAnsi="Times New Roman"/>
                <w:color w:val="333333"/>
                <w:sz w:val="17"/>
                <w:szCs w:val="17"/>
                <w:lang w:eastAsia="pt-PT"/>
              </w:rPr>
              <w:t>x</w:t>
            </w:r>
            <w:proofErr w:type="gramEnd"/>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78</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Outros Rendimentos e Ganhos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783</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Recuperação de Dívidas a receber</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proofErr w:type="gramStart"/>
            <w:r w:rsidRPr="00286406">
              <w:rPr>
                <w:rFonts w:ascii="Times New Roman" w:eastAsia="Times New Roman" w:hAnsi="Times New Roman"/>
                <w:color w:val="333333"/>
                <w:sz w:val="17"/>
                <w:szCs w:val="17"/>
                <w:lang w:eastAsia="pt-PT"/>
              </w:rPr>
              <w:t>x</w:t>
            </w:r>
            <w:proofErr w:type="gramEnd"/>
          </w:p>
        </w:tc>
      </w:tr>
    </w:tbl>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b/>
          <w:bCs/>
          <w:color w:val="333333"/>
          <w:sz w:val="17"/>
          <w:szCs w:val="17"/>
          <w:lang w:eastAsia="pt-PT"/>
        </w:rPr>
        <w:t>Exemplos</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Em 31 de Dezembro de X0, foi identificado na empresa A, Lda., que um cliente tinha ultrapassado o prazo concedido para pagamento da sua dívida. Após várias promessas de pagamento, a empresa considerou existir elevado risco de incobrabilidade de 50% da dívida de um total de 50 000. Em 31 de Dezembro do ano X1, a dívida do cliente foi considerada incobrável. Contudo, o cliente pagou integralmente a sua dívida no ano X2, no seguimento da acção de recuperação da empresa.</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O lançamento pela imparidade do activo é:</w:t>
      </w:r>
    </w:p>
    <w:tbl>
      <w:tblPr>
        <w:tblW w:w="0" w:type="auto"/>
        <w:tblCellMar>
          <w:top w:w="15" w:type="dxa"/>
          <w:left w:w="15" w:type="dxa"/>
          <w:bottom w:w="15" w:type="dxa"/>
          <w:right w:w="15" w:type="dxa"/>
        </w:tblCellMar>
        <w:tblLook w:val="04A0" w:firstRow="1" w:lastRow="0" w:firstColumn="1" w:lastColumn="0" w:noHBand="0" w:noVBand="1"/>
      </w:tblPr>
      <w:tblGrid>
        <w:gridCol w:w="415"/>
        <w:gridCol w:w="2643"/>
        <w:gridCol w:w="528"/>
        <w:gridCol w:w="528"/>
      </w:tblGrid>
      <w:tr w:rsidR="00286406" w:rsidRPr="00286406" w:rsidTr="00286406">
        <w:trPr>
          <w:tblHeader/>
        </w:trPr>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Conta</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Descrição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Débito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Crédito</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lastRenderedPageBreak/>
              <w:t>65</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Perdas por Imparidade</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651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Em dívidas a receber</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6511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25 000</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219</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Perdas por Imparidade Acumuladas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25 000</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i/>
                <w:iCs/>
                <w:color w:val="333333"/>
                <w:sz w:val="17"/>
                <w:szCs w:val="17"/>
                <w:lang w:eastAsia="pt-PT"/>
              </w:rPr>
              <w:t>Pelo registo da perda por imparidade</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bl>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O lançamento pelo reconhecimento do crédito incobrável é:</w:t>
      </w:r>
    </w:p>
    <w:tbl>
      <w:tblPr>
        <w:tblW w:w="0" w:type="auto"/>
        <w:tblCellMar>
          <w:top w:w="15" w:type="dxa"/>
          <w:left w:w="15" w:type="dxa"/>
          <w:bottom w:w="15" w:type="dxa"/>
          <w:right w:w="15" w:type="dxa"/>
        </w:tblCellMar>
        <w:tblLook w:val="04A0" w:firstRow="1" w:lastRow="0" w:firstColumn="1" w:lastColumn="0" w:noHBand="0" w:noVBand="1"/>
      </w:tblPr>
      <w:tblGrid>
        <w:gridCol w:w="415"/>
        <w:gridCol w:w="2492"/>
        <w:gridCol w:w="528"/>
        <w:gridCol w:w="528"/>
      </w:tblGrid>
      <w:tr w:rsidR="00286406" w:rsidRPr="00286406" w:rsidTr="00286406">
        <w:trPr>
          <w:tblHeader/>
        </w:trPr>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Conta</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Descrição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Débito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Crédito</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219</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Perdas por Imparidade Acumuladas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25 000</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68</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Outros Gastos e Perdas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683</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Dívidas Incobráveis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25 000</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 c/c</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2111</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Clientes Gerais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50 000</w:t>
            </w:r>
          </w:p>
        </w:tc>
      </w:tr>
    </w:tbl>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O lançamento pela recuperação da dívida do cliente é:</w:t>
      </w:r>
    </w:p>
    <w:tbl>
      <w:tblPr>
        <w:tblW w:w="0" w:type="auto"/>
        <w:tblCellMar>
          <w:top w:w="15" w:type="dxa"/>
          <w:left w:w="15" w:type="dxa"/>
          <w:bottom w:w="15" w:type="dxa"/>
          <w:right w:w="15" w:type="dxa"/>
        </w:tblCellMar>
        <w:tblLook w:val="04A0" w:firstRow="1" w:lastRow="0" w:firstColumn="1" w:lastColumn="0" w:noHBand="0" w:noVBand="1"/>
      </w:tblPr>
      <w:tblGrid>
        <w:gridCol w:w="415"/>
        <w:gridCol w:w="2430"/>
        <w:gridCol w:w="528"/>
        <w:gridCol w:w="528"/>
      </w:tblGrid>
      <w:tr w:rsidR="00286406" w:rsidRPr="00286406" w:rsidTr="00286406">
        <w:trPr>
          <w:tblHeader/>
        </w:trPr>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Conta</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Descrição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Débito</w:t>
            </w:r>
          </w:p>
        </w:tc>
        <w:tc>
          <w:tcPr>
            <w:tcW w:w="0" w:type="auto"/>
            <w:tcBorders>
              <w:bottom w:val="single" w:sz="6" w:space="0" w:color="000000"/>
              <w:right w:val="single" w:sz="6" w:space="0" w:color="000000"/>
            </w:tcBorders>
            <w:shd w:val="clear" w:color="auto" w:fill="666666"/>
            <w:tcMar>
              <w:top w:w="0" w:type="dxa"/>
              <w:left w:w="0" w:type="dxa"/>
              <w:bottom w:w="0" w:type="dxa"/>
              <w:right w:w="0" w:type="dxa"/>
            </w:tcMar>
            <w:hideMark/>
          </w:tcPr>
          <w:p w:rsidR="00286406" w:rsidRPr="00286406" w:rsidRDefault="00286406" w:rsidP="00286406">
            <w:pPr>
              <w:spacing w:after="270" w:line="210" w:lineRule="atLeast"/>
              <w:jc w:val="center"/>
              <w:rPr>
                <w:rFonts w:ascii="Times New Roman" w:eastAsia="Times New Roman" w:hAnsi="Times New Roman"/>
                <w:color w:val="FFFFFF"/>
                <w:sz w:val="17"/>
                <w:szCs w:val="17"/>
                <w:lang w:eastAsia="pt-PT"/>
              </w:rPr>
            </w:pPr>
            <w:r w:rsidRPr="00286406">
              <w:rPr>
                <w:rFonts w:ascii="Times New Roman" w:eastAsia="Times New Roman" w:hAnsi="Times New Roman"/>
                <w:color w:val="FFFFFF"/>
                <w:sz w:val="17"/>
                <w:szCs w:val="17"/>
                <w:lang w:eastAsia="pt-PT"/>
              </w:rPr>
              <w:t>Crédito</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12</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Depósitos à ordem</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50 000</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78</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Outros Rendimentos e Ganhos</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r>
      <w:tr w:rsidR="00286406" w:rsidRPr="00286406" w:rsidTr="00286406">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righ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783</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Recuperação de Dívidas a Receber</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 </w:t>
            </w:r>
          </w:p>
        </w:tc>
        <w:tc>
          <w:tcPr>
            <w:tcW w:w="0" w:type="auto"/>
            <w:tcBorders>
              <w:bottom w:val="single" w:sz="6" w:space="0" w:color="000000"/>
              <w:right w:val="single" w:sz="6" w:space="0" w:color="000000"/>
            </w:tcBorders>
            <w:tcMar>
              <w:top w:w="30" w:type="dxa"/>
              <w:left w:w="30" w:type="dxa"/>
              <w:bottom w:w="30" w:type="dxa"/>
              <w:right w:w="30" w:type="dxa"/>
            </w:tcMar>
            <w:hideMark/>
          </w:tcPr>
          <w:p w:rsidR="00286406" w:rsidRPr="00286406" w:rsidRDefault="00286406" w:rsidP="00286406">
            <w:pPr>
              <w:spacing w:after="270" w:line="210" w:lineRule="atLeast"/>
              <w:jc w:val="center"/>
              <w:rPr>
                <w:rFonts w:ascii="Times New Roman" w:eastAsia="Times New Roman" w:hAnsi="Times New Roman"/>
                <w:color w:val="333333"/>
                <w:sz w:val="17"/>
                <w:szCs w:val="17"/>
                <w:lang w:eastAsia="pt-PT"/>
              </w:rPr>
            </w:pPr>
            <w:r w:rsidRPr="00286406">
              <w:rPr>
                <w:rFonts w:ascii="Times New Roman" w:eastAsia="Times New Roman" w:hAnsi="Times New Roman"/>
                <w:color w:val="333333"/>
                <w:sz w:val="17"/>
                <w:szCs w:val="17"/>
                <w:lang w:eastAsia="pt-PT"/>
              </w:rPr>
              <w:t>50 000</w:t>
            </w:r>
          </w:p>
        </w:tc>
      </w:tr>
    </w:tbl>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b/>
          <w:bCs/>
          <w:color w:val="333333"/>
          <w:sz w:val="17"/>
          <w:szCs w:val="17"/>
          <w:lang w:eastAsia="pt-PT"/>
        </w:rPr>
        <w:t>Normas Contabilísticas</w:t>
      </w:r>
    </w:p>
    <w:p w:rsidR="00286406" w:rsidRPr="00286406" w:rsidRDefault="00286406" w:rsidP="00286406">
      <w:pPr>
        <w:numPr>
          <w:ilvl w:val="0"/>
          <w:numId w:val="2"/>
        </w:numPr>
        <w:shd w:val="clear" w:color="auto" w:fill="FFFFFF"/>
        <w:spacing w:after="0" w:line="210" w:lineRule="atLeast"/>
        <w:ind w:left="0"/>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SNC.</w:t>
      </w:r>
    </w:p>
    <w:p w:rsidR="00286406" w:rsidRPr="00286406" w:rsidRDefault="00286406" w:rsidP="00286406">
      <w:pPr>
        <w:numPr>
          <w:ilvl w:val="0"/>
          <w:numId w:val="2"/>
        </w:numPr>
        <w:shd w:val="clear" w:color="auto" w:fill="FFFFFF"/>
        <w:spacing w:after="0" w:line="210" w:lineRule="atLeast"/>
        <w:ind w:left="0"/>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NCRF 27 – Instrumentos Financeiros.</w:t>
      </w:r>
    </w:p>
    <w:p w:rsidR="00286406" w:rsidRPr="00286406" w:rsidRDefault="00286406" w:rsidP="00286406">
      <w:pPr>
        <w:numPr>
          <w:ilvl w:val="0"/>
          <w:numId w:val="2"/>
        </w:numPr>
        <w:shd w:val="clear" w:color="auto" w:fill="FFFFFF"/>
        <w:spacing w:after="0" w:line="210" w:lineRule="atLeast"/>
        <w:ind w:left="0"/>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IAS 39 – Instrumentos Financeiros.</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b/>
          <w:bCs/>
          <w:color w:val="333333"/>
          <w:sz w:val="17"/>
          <w:szCs w:val="17"/>
          <w:lang w:eastAsia="pt-PT"/>
        </w:rPr>
        <w:t>Regras Fiscais</w:t>
      </w:r>
    </w:p>
    <w:p w:rsidR="00286406" w:rsidRPr="00286406" w:rsidRDefault="00286406" w:rsidP="00286406">
      <w:pPr>
        <w:numPr>
          <w:ilvl w:val="0"/>
          <w:numId w:val="3"/>
        </w:numPr>
        <w:shd w:val="clear" w:color="auto" w:fill="FFFFFF"/>
        <w:spacing w:after="0" w:line="210" w:lineRule="atLeast"/>
        <w:ind w:left="0"/>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Artigo 36.º, do Código do IRC.</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São fiscalmente dedutíveis as perdas por imparidade, que tiverem por fim a cobertura de créditos resultantes da actividade normal que, no fim do exercício, possam ser considerados de cobrança duvidosa e sejam evidenciados como tal na contabilidade de créditos que tenham sido reclamados judicialmente.</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b/>
          <w:bCs/>
          <w:color w:val="333333"/>
          <w:sz w:val="17"/>
          <w:szCs w:val="17"/>
          <w:lang w:eastAsia="pt-PT"/>
        </w:rPr>
        <w:lastRenderedPageBreak/>
        <w:t>Erros a Evitar</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Considerar dívidas incobráveis na conta 683 que tiverem sido consideradas anteriormente em situação de imparidade.</w:t>
      </w:r>
    </w:p>
    <w:p w:rsidR="00286406" w:rsidRPr="00286406" w:rsidRDefault="00286406" w:rsidP="00286406">
      <w:pPr>
        <w:shd w:val="clear" w:color="auto" w:fill="FFFFFF"/>
        <w:spacing w:after="27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Considerar as perdas por imparidade acumuladas, de não receber como dedutíveis para efeitos fiscais, se superiores às seguintes percentagens dos créditos em mora:</w:t>
      </w:r>
    </w:p>
    <w:p w:rsidR="00286406" w:rsidRPr="00286406" w:rsidRDefault="00286406" w:rsidP="00286406">
      <w:pPr>
        <w:numPr>
          <w:ilvl w:val="0"/>
          <w:numId w:val="4"/>
        </w:numPr>
        <w:shd w:val="clear" w:color="auto" w:fill="FFFFFF"/>
        <w:spacing w:after="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 xml:space="preserve">25% </w:t>
      </w:r>
      <w:proofErr w:type="gramStart"/>
      <w:r w:rsidRPr="00286406">
        <w:rPr>
          <w:rFonts w:ascii="Tahoma" w:eastAsia="Times New Roman" w:hAnsi="Tahoma" w:cs="Tahoma"/>
          <w:color w:val="333333"/>
          <w:sz w:val="17"/>
          <w:szCs w:val="17"/>
          <w:lang w:eastAsia="pt-PT"/>
        </w:rPr>
        <w:t>para</w:t>
      </w:r>
      <w:proofErr w:type="gramEnd"/>
      <w:r w:rsidRPr="00286406">
        <w:rPr>
          <w:rFonts w:ascii="Tahoma" w:eastAsia="Times New Roman" w:hAnsi="Tahoma" w:cs="Tahoma"/>
          <w:color w:val="333333"/>
          <w:sz w:val="17"/>
          <w:szCs w:val="17"/>
          <w:lang w:eastAsia="pt-PT"/>
        </w:rPr>
        <w:t xml:space="preserve"> créditos em mora há mais de 6 meses e até 12 meses;</w:t>
      </w:r>
    </w:p>
    <w:p w:rsidR="00286406" w:rsidRPr="00286406" w:rsidRDefault="00286406" w:rsidP="00286406">
      <w:pPr>
        <w:numPr>
          <w:ilvl w:val="0"/>
          <w:numId w:val="4"/>
        </w:numPr>
        <w:shd w:val="clear" w:color="auto" w:fill="FFFFFF"/>
        <w:spacing w:after="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 xml:space="preserve">50% </w:t>
      </w:r>
      <w:proofErr w:type="gramStart"/>
      <w:r w:rsidRPr="00286406">
        <w:rPr>
          <w:rFonts w:ascii="Tahoma" w:eastAsia="Times New Roman" w:hAnsi="Tahoma" w:cs="Tahoma"/>
          <w:color w:val="333333"/>
          <w:sz w:val="17"/>
          <w:szCs w:val="17"/>
          <w:lang w:eastAsia="pt-PT"/>
        </w:rPr>
        <w:t>para</w:t>
      </w:r>
      <w:proofErr w:type="gramEnd"/>
      <w:r w:rsidRPr="00286406">
        <w:rPr>
          <w:rFonts w:ascii="Tahoma" w:eastAsia="Times New Roman" w:hAnsi="Tahoma" w:cs="Tahoma"/>
          <w:color w:val="333333"/>
          <w:sz w:val="17"/>
          <w:szCs w:val="17"/>
          <w:lang w:eastAsia="pt-PT"/>
        </w:rPr>
        <w:t xml:space="preserve"> créditos em mora há mais de 12 meses e até 18 meses;</w:t>
      </w:r>
    </w:p>
    <w:p w:rsidR="00286406" w:rsidRPr="00286406" w:rsidRDefault="00286406" w:rsidP="00286406">
      <w:pPr>
        <w:numPr>
          <w:ilvl w:val="0"/>
          <w:numId w:val="4"/>
        </w:numPr>
        <w:shd w:val="clear" w:color="auto" w:fill="FFFFFF"/>
        <w:spacing w:after="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 xml:space="preserve">75% </w:t>
      </w:r>
      <w:proofErr w:type="gramStart"/>
      <w:r w:rsidRPr="00286406">
        <w:rPr>
          <w:rFonts w:ascii="Tahoma" w:eastAsia="Times New Roman" w:hAnsi="Tahoma" w:cs="Tahoma"/>
          <w:color w:val="333333"/>
          <w:sz w:val="17"/>
          <w:szCs w:val="17"/>
          <w:lang w:eastAsia="pt-PT"/>
        </w:rPr>
        <w:t>para</w:t>
      </w:r>
      <w:proofErr w:type="gramEnd"/>
      <w:r w:rsidRPr="00286406">
        <w:rPr>
          <w:rFonts w:ascii="Tahoma" w:eastAsia="Times New Roman" w:hAnsi="Tahoma" w:cs="Tahoma"/>
          <w:color w:val="333333"/>
          <w:sz w:val="17"/>
          <w:szCs w:val="17"/>
          <w:lang w:eastAsia="pt-PT"/>
        </w:rPr>
        <w:t xml:space="preserve"> créditos em mora há mais de 18 meses e até 24 meses;</w:t>
      </w:r>
    </w:p>
    <w:p w:rsidR="00286406" w:rsidRPr="00286406" w:rsidRDefault="00286406" w:rsidP="00286406">
      <w:pPr>
        <w:numPr>
          <w:ilvl w:val="0"/>
          <w:numId w:val="4"/>
        </w:numPr>
        <w:shd w:val="clear" w:color="auto" w:fill="FFFFFF"/>
        <w:spacing w:after="0" w:line="210" w:lineRule="atLeast"/>
        <w:rPr>
          <w:rFonts w:ascii="Tahoma" w:eastAsia="Times New Roman" w:hAnsi="Tahoma" w:cs="Tahoma"/>
          <w:color w:val="333333"/>
          <w:sz w:val="17"/>
          <w:szCs w:val="17"/>
          <w:lang w:eastAsia="pt-PT"/>
        </w:rPr>
      </w:pPr>
      <w:r w:rsidRPr="00286406">
        <w:rPr>
          <w:rFonts w:ascii="Tahoma" w:eastAsia="Times New Roman" w:hAnsi="Tahoma" w:cs="Tahoma"/>
          <w:color w:val="333333"/>
          <w:sz w:val="17"/>
          <w:szCs w:val="17"/>
          <w:lang w:eastAsia="pt-PT"/>
        </w:rPr>
        <w:t xml:space="preserve">100% </w:t>
      </w:r>
      <w:proofErr w:type="gramStart"/>
      <w:r w:rsidRPr="00286406">
        <w:rPr>
          <w:rFonts w:ascii="Tahoma" w:eastAsia="Times New Roman" w:hAnsi="Tahoma" w:cs="Tahoma"/>
          <w:color w:val="333333"/>
          <w:sz w:val="17"/>
          <w:szCs w:val="17"/>
          <w:lang w:eastAsia="pt-PT"/>
        </w:rPr>
        <w:t>para</w:t>
      </w:r>
      <w:proofErr w:type="gramEnd"/>
      <w:r w:rsidRPr="00286406">
        <w:rPr>
          <w:rFonts w:ascii="Tahoma" w:eastAsia="Times New Roman" w:hAnsi="Tahoma" w:cs="Tahoma"/>
          <w:color w:val="333333"/>
          <w:sz w:val="17"/>
          <w:szCs w:val="17"/>
          <w:lang w:eastAsia="pt-PT"/>
        </w:rPr>
        <w:t xml:space="preserve"> créditos em mora há mais de 24 meses.</w:t>
      </w:r>
    </w:p>
    <w:p w:rsidR="00286406" w:rsidRPr="00286406" w:rsidRDefault="00286406" w:rsidP="00286406">
      <w:pPr>
        <w:shd w:val="clear" w:color="auto" w:fill="FFFFFF"/>
        <w:spacing w:after="0" w:line="240" w:lineRule="auto"/>
        <w:rPr>
          <w:rFonts w:ascii="Tahoma" w:eastAsia="Times New Roman" w:hAnsi="Tahoma" w:cs="Tahoma"/>
          <w:color w:val="000000"/>
          <w:sz w:val="17"/>
          <w:szCs w:val="17"/>
          <w:lang w:eastAsia="pt-PT"/>
        </w:rPr>
      </w:pPr>
      <w:r w:rsidRPr="00286406">
        <w:rPr>
          <w:rFonts w:ascii="Tahoma" w:eastAsia="Times New Roman" w:hAnsi="Tahoma" w:cs="Tahoma"/>
          <w:color w:val="000000"/>
          <w:sz w:val="17"/>
          <w:szCs w:val="17"/>
          <w:lang w:eastAsia="pt-PT"/>
        </w:rPr>
        <w:t>Autores: </w:t>
      </w:r>
      <w:hyperlink r:id="rId6" w:tooltip="José Joaquim Ribeiro da Silva" w:history="1">
        <w:r w:rsidRPr="00286406">
          <w:rPr>
            <w:rFonts w:ascii="Tahoma" w:eastAsia="Times New Roman" w:hAnsi="Tahoma" w:cs="Tahoma"/>
            <w:color w:val="016192"/>
            <w:sz w:val="17"/>
            <w:szCs w:val="17"/>
            <w:u w:val="single"/>
            <w:lang w:eastAsia="pt-PT"/>
          </w:rPr>
          <w:t>José Joaquim Ribeiro da Silva</w:t>
        </w:r>
      </w:hyperlink>
    </w:p>
    <w:p w:rsidR="00286406" w:rsidRPr="00286406" w:rsidRDefault="00286406" w:rsidP="00286406">
      <w:pPr>
        <w:shd w:val="clear" w:color="auto" w:fill="FFFFFF"/>
        <w:spacing w:after="150" w:line="240" w:lineRule="auto"/>
        <w:rPr>
          <w:rFonts w:ascii="Tahoma" w:eastAsia="Times New Roman" w:hAnsi="Tahoma" w:cs="Tahoma"/>
          <w:color w:val="000000"/>
          <w:sz w:val="17"/>
          <w:szCs w:val="17"/>
          <w:lang w:eastAsia="pt-PT"/>
        </w:rPr>
      </w:pPr>
      <w:hyperlink r:id="rId7" w:tooltip="Ir para o topo" w:history="1">
        <w:proofErr w:type="gramStart"/>
        <w:r w:rsidRPr="00286406">
          <w:rPr>
            <w:rFonts w:ascii="Tahoma" w:eastAsia="Times New Roman" w:hAnsi="Tahoma" w:cs="Tahoma"/>
            <w:color w:val="016192"/>
            <w:sz w:val="15"/>
            <w:szCs w:val="15"/>
            <w:lang w:eastAsia="pt-PT"/>
          </w:rPr>
          <w:t>topo</w:t>
        </w:r>
      </w:hyperlink>
      <w:proofErr w:type="gramEnd"/>
    </w:p>
    <w:p w:rsidR="00722DC8" w:rsidRDefault="00722DC8">
      <w:bookmarkStart w:id="0" w:name="_GoBack"/>
      <w:bookmarkEnd w:id="0"/>
    </w:p>
    <w:sectPr w:rsidR="00722DC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71B34"/>
    <w:multiLevelType w:val="multilevel"/>
    <w:tmpl w:val="81B0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406A11"/>
    <w:multiLevelType w:val="multilevel"/>
    <w:tmpl w:val="BCC0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32504D"/>
    <w:multiLevelType w:val="multilevel"/>
    <w:tmpl w:val="AD24E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E8419D4"/>
    <w:multiLevelType w:val="multilevel"/>
    <w:tmpl w:val="03D2D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26B"/>
    <w:rsid w:val="00286406"/>
    <w:rsid w:val="005A226B"/>
    <w:rsid w:val="00722DC8"/>
    <w:rsid w:val="00E2385B"/>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P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85B"/>
    <w:pPr>
      <w:spacing w:after="200" w:line="276" w:lineRule="auto"/>
    </w:pPr>
    <w:rPr>
      <w:sz w:val="22"/>
      <w:szCs w:val="22"/>
    </w:rPr>
  </w:style>
  <w:style w:type="paragraph" w:styleId="Cabealho2">
    <w:name w:val="heading 2"/>
    <w:basedOn w:val="Normal"/>
    <w:next w:val="Normal"/>
    <w:link w:val="Cabealho2Carcter"/>
    <w:unhideWhenUsed/>
    <w:qFormat/>
    <w:rsid w:val="00E2385B"/>
    <w:pPr>
      <w:keepNext/>
      <w:spacing w:after="0" w:line="240" w:lineRule="auto"/>
      <w:jc w:val="center"/>
      <w:outlineLvl w:val="1"/>
    </w:pPr>
    <w:rPr>
      <w:rFonts w:ascii="Times New Roman" w:eastAsia="Times New Roman" w:hAnsi="Times New Roman"/>
      <w:b/>
      <w:bCs/>
      <w:sz w:val="32"/>
      <w:szCs w:val="24"/>
      <w:u w:val="single"/>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2Carcter">
    <w:name w:val="Cabeçalho 2 Carácter"/>
    <w:link w:val="Cabealho2"/>
    <w:rsid w:val="00E2385B"/>
    <w:rPr>
      <w:rFonts w:ascii="Times New Roman" w:eastAsia="Times New Roman" w:hAnsi="Times New Roman"/>
      <w:b/>
      <w:bCs/>
      <w:sz w:val="32"/>
      <w:szCs w:val="24"/>
      <w:u w:val="single"/>
    </w:rPr>
  </w:style>
  <w:style w:type="paragraph" w:styleId="SemEspaamento">
    <w:name w:val="No Spacing"/>
    <w:uiPriority w:val="1"/>
    <w:qFormat/>
    <w:rsid w:val="00E2385B"/>
    <w:rPr>
      <w:sz w:val="22"/>
      <w:szCs w:val="22"/>
    </w:rPr>
  </w:style>
  <w:style w:type="paragraph" w:styleId="NormalWeb">
    <w:name w:val="Normal (Web)"/>
    <w:basedOn w:val="Normal"/>
    <w:uiPriority w:val="99"/>
    <w:unhideWhenUsed/>
    <w:rsid w:val="00286406"/>
    <w:pPr>
      <w:spacing w:before="100" w:beforeAutospacing="1" w:after="100" w:afterAutospacing="1" w:line="240" w:lineRule="auto"/>
    </w:pPr>
    <w:rPr>
      <w:rFonts w:ascii="Times New Roman" w:eastAsia="Times New Roman" w:hAnsi="Times New Roman"/>
      <w:sz w:val="24"/>
      <w:szCs w:val="24"/>
      <w:lang w:eastAsia="pt-PT"/>
    </w:rPr>
  </w:style>
  <w:style w:type="character" w:customStyle="1" w:styleId="apple-converted-space">
    <w:name w:val="apple-converted-space"/>
    <w:basedOn w:val="Tipodeletrapredefinidodopargrafo"/>
    <w:rsid w:val="00286406"/>
  </w:style>
  <w:style w:type="character" w:styleId="Hiperligao">
    <w:name w:val="Hyperlink"/>
    <w:basedOn w:val="Tipodeletrapredefinidodopargrafo"/>
    <w:uiPriority w:val="99"/>
    <w:semiHidden/>
    <w:unhideWhenUsed/>
    <w:rsid w:val="0028640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P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85B"/>
    <w:pPr>
      <w:spacing w:after="200" w:line="276" w:lineRule="auto"/>
    </w:pPr>
    <w:rPr>
      <w:sz w:val="22"/>
      <w:szCs w:val="22"/>
    </w:rPr>
  </w:style>
  <w:style w:type="paragraph" w:styleId="Cabealho2">
    <w:name w:val="heading 2"/>
    <w:basedOn w:val="Normal"/>
    <w:next w:val="Normal"/>
    <w:link w:val="Cabealho2Carcter"/>
    <w:unhideWhenUsed/>
    <w:qFormat/>
    <w:rsid w:val="00E2385B"/>
    <w:pPr>
      <w:keepNext/>
      <w:spacing w:after="0" w:line="240" w:lineRule="auto"/>
      <w:jc w:val="center"/>
      <w:outlineLvl w:val="1"/>
    </w:pPr>
    <w:rPr>
      <w:rFonts w:ascii="Times New Roman" w:eastAsia="Times New Roman" w:hAnsi="Times New Roman"/>
      <w:b/>
      <w:bCs/>
      <w:sz w:val="32"/>
      <w:szCs w:val="24"/>
      <w:u w:val="single"/>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2Carcter">
    <w:name w:val="Cabeçalho 2 Carácter"/>
    <w:link w:val="Cabealho2"/>
    <w:rsid w:val="00E2385B"/>
    <w:rPr>
      <w:rFonts w:ascii="Times New Roman" w:eastAsia="Times New Roman" w:hAnsi="Times New Roman"/>
      <w:b/>
      <w:bCs/>
      <w:sz w:val="32"/>
      <w:szCs w:val="24"/>
      <w:u w:val="single"/>
    </w:rPr>
  </w:style>
  <w:style w:type="paragraph" w:styleId="SemEspaamento">
    <w:name w:val="No Spacing"/>
    <w:uiPriority w:val="1"/>
    <w:qFormat/>
    <w:rsid w:val="00E2385B"/>
    <w:rPr>
      <w:sz w:val="22"/>
      <w:szCs w:val="22"/>
    </w:rPr>
  </w:style>
  <w:style w:type="paragraph" w:styleId="NormalWeb">
    <w:name w:val="Normal (Web)"/>
    <w:basedOn w:val="Normal"/>
    <w:uiPriority w:val="99"/>
    <w:unhideWhenUsed/>
    <w:rsid w:val="00286406"/>
    <w:pPr>
      <w:spacing w:before="100" w:beforeAutospacing="1" w:after="100" w:afterAutospacing="1" w:line="240" w:lineRule="auto"/>
    </w:pPr>
    <w:rPr>
      <w:rFonts w:ascii="Times New Roman" w:eastAsia="Times New Roman" w:hAnsi="Times New Roman"/>
      <w:sz w:val="24"/>
      <w:szCs w:val="24"/>
      <w:lang w:eastAsia="pt-PT"/>
    </w:rPr>
  </w:style>
  <w:style w:type="character" w:customStyle="1" w:styleId="apple-converted-space">
    <w:name w:val="apple-converted-space"/>
    <w:basedOn w:val="Tipodeletrapredefinidodopargrafo"/>
    <w:rsid w:val="00286406"/>
  </w:style>
  <w:style w:type="character" w:styleId="Hiperligao">
    <w:name w:val="Hyperlink"/>
    <w:basedOn w:val="Tipodeletrapredefinidodopargrafo"/>
    <w:uiPriority w:val="99"/>
    <w:semiHidden/>
    <w:unhideWhenUsed/>
    <w:rsid w:val="002864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038179">
      <w:bodyDiv w:val="1"/>
      <w:marLeft w:val="0"/>
      <w:marRight w:val="0"/>
      <w:marTop w:val="0"/>
      <w:marBottom w:val="0"/>
      <w:divBdr>
        <w:top w:val="none" w:sz="0" w:space="0" w:color="auto"/>
        <w:left w:val="none" w:sz="0" w:space="0" w:color="auto"/>
        <w:bottom w:val="none" w:sz="0" w:space="0" w:color="auto"/>
        <w:right w:val="none" w:sz="0" w:space="0" w:color="auto"/>
      </w:divBdr>
      <w:divsChild>
        <w:div w:id="638998553">
          <w:marLeft w:val="0"/>
          <w:marRight w:val="0"/>
          <w:marTop w:val="0"/>
          <w:marBottom w:val="150"/>
          <w:divBdr>
            <w:top w:val="none" w:sz="0" w:space="0" w:color="auto"/>
            <w:left w:val="none" w:sz="0" w:space="0" w:color="auto"/>
            <w:bottom w:val="none" w:sz="0" w:space="0" w:color="auto"/>
            <w:right w:val="none" w:sz="0" w:space="0" w:color="auto"/>
          </w:divBdr>
          <w:divsChild>
            <w:div w:id="918365409">
              <w:marLeft w:val="0"/>
              <w:marRight w:val="0"/>
              <w:marTop w:val="0"/>
              <w:marBottom w:val="0"/>
              <w:divBdr>
                <w:top w:val="none" w:sz="0" w:space="0" w:color="auto"/>
                <w:left w:val="none" w:sz="0" w:space="0" w:color="auto"/>
                <w:bottom w:val="none" w:sz="0" w:space="0" w:color="auto"/>
                <w:right w:val="none" w:sz="0" w:space="0" w:color="auto"/>
              </w:divBdr>
            </w:div>
            <w:div w:id="1508641615">
              <w:marLeft w:val="0"/>
              <w:marRight w:val="0"/>
              <w:marTop w:val="0"/>
              <w:marBottom w:val="0"/>
              <w:divBdr>
                <w:top w:val="none" w:sz="0" w:space="0" w:color="auto"/>
                <w:left w:val="none" w:sz="0" w:space="0" w:color="auto"/>
                <w:bottom w:val="none" w:sz="0" w:space="0" w:color="auto"/>
                <w:right w:val="none" w:sz="0" w:space="0" w:color="auto"/>
              </w:divBdr>
            </w:div>
            <w:div w:id="182623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javascrip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stema-normalizacao-contabilistica.dashofer.pt/?s=autor&amp;a=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1178</Words>
  <Characters>6363</Characters>
  <Application>Microsoft Office Word</Application>
  <DocSecurity>0</DocSecurity>
  <Lines>53</Lines>
  <Paragraphs>15</Paragraphs>
  <ScaleCrop>false</ScaleCrop>
  <Company/>
  <LinksUpToDate>false</LinksUpToDate>
  <CharactersWithSpaces>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
  <dc:description/>
  <cp:lastModifiedBy>artur</cp:lastModifiedBy>
  <cp:revision>2</cp:revision>
  <dcterms:created xsi:type="dcterms:W3CDTF">2011-11-18T14:49:00Z</dcterms:created>
  <dcterms:modified xsi:type="dcterms:W3CDTF">2011-11-18T14:49:00Z</dcterms:modified>
</cp:coreProperties>
</file>