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openxmlformats-officedocument.wordprocessingml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DEB" w:rsidRDefault="00D57DEB" w:rsidP="00D002B2">
      <w:pPr>
        <w:pStyle w:val="Ttulo1"/>
        <w:rPr>
          <w:rFonts w:eastAsia="Times New Roman"/>
          <w:lang w:eastAsia="pt-PT"/>
        </w:rPr>
      </w:pPr>
      <w:bookmarkStart w:id="0" w:name="_Toc280108778"/>
      <w:r>
        <w:rPr>
          <w:rFonts w:eastAsia="Times New Roman"/>
          <w:lang w:eastAsia="pt-PT"/>
        </w:rPr>
        <w:t>Índice</w:t>
      </w:r>
      <w:bookmarkEnd w:id="0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857725"/>
        <w:docPartObj>
          <w:docPartGallery w:val="Table of Contents"/>
          <w:docPartUnique/>
        </w:docPartObj>
      </w:sdtPr>
      <w:sdtContent>
        <w:p w:rsidR="00474D73" w:rsidRDefault="00474D73">
          <w:pPr>
            <w:pStyle w:val="Ttulodondice"/>
          </w:pPr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r>
            <w:fldChar w:fldCharType="begin"/>
          </w:r>
          <w:r w:rsidR="00474D73"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>HYPERLINK \l "_Toc280108779"</w:instrText>
          </w:r>
          <w:r>
            <w:fldChar w:fldCharType="separate"/>
          </w:r>
          <w:r w:rsidR="00474D73" w:rsidRPr="0057027E">
            <w:rPr>
              <w:rStyle w:val="Hiperligao"/>
              <w:noProof/>
            </w:rPr>
            <w:t>Introdução</w:t>
          </w:r>
          <w:r w:rsidR="00474D73">
            <w:rPr>
              <w:noProof/>
              <w:webHidden/>
            </w:rPr>
            <w:tab/>
          </w:r>
          <w:r>
            <w:rPr>
              <w:noProof/>
              <w:webHidden/>
            </w:rPr>
            <w:fldChar w:fldCharType="begin"/>
          </w:r>
          <w:r w:rsidR="00474D73">
            <w:rPr>
              <w:noProof/>
              <w:webHidden/>
            </w:rPr>
            <w:instrText xml:space="preserve"> PAGEREF _Toc280108779 \h </w:instrText>
          </w:r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r w:rsidR="00474D73">
            <w:rPr>
              <w:noProof/>
              <w:webHidden/>
            </w:rPr>
            <w:t>1</w:t>
          </w:r>
          <w:r>
            <w:rPr>
              <w:noProof/>
              <w:webHidden/>
            </w:rPr>
            <w:fldChar w:fldCharType="end"/>
          </w:r>
          <w:r>
            <w:fldChar w:fldCharType="end"/>
          </w:r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780" w:history="1">
            <w:r w:rsidR="00474D73" w:rsidRPr="0057027E">
              <w:rPr>
                <w:rStyle w:val="Hiperligao"/>
                <w:noProof/>
              </w:rPr>
              <w:t>Caracterização da empresa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781" w:history="1">
            <w:r w:rsidR="00474D73" w:rsidRPr="0057027E">
              <w:rPr>
                <w:rStyle w:val="Hiperligao"/>
                <w:noProof/>
              </w:rPr>
              <w:t>Órgãos Sociais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782" w:history="1">
            <w:r w:rsidR="00474D73" w:rsidRPr="0057027E">
              <w:rPr>
                <w:rStyle w:val="Hiperligao"/>
                <w:noProof/>
              </w:rPr>
              <w:t>Organograma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783" w:history="1">
            <w:r w:rsidR="00474D73" w:rsidRPr="0057027E">
              <w:rPr>
                <w:rStyle w:val="Hiperligao"/>
                <w:noProof/>
              </w:rPr>
              <w:t>Enquadramento Macroeconómico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784" w:history="1">
            <w:r w:rsidR="00474D73" w:rsidRPr="0057027E">
              <w:rPr>
                <w:rStyle w:val="Hiperligao"/>
                <w:noProof/>
              </w:rPr>
              <w:t>Análise da Actividade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785" w:history="1">
            <w:r w:rsidR="00474D73" w:rsidRPr="0057027E">
              <w:rPr>
                <w:rStyle w:val="Hiperligao"/>
                <w:noProof/>
              </w:rPr>
              <w:t>Análise do ano de 2009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786" w:history="1">
            <w:r w:rsidR="00474D73" w:rsidRPr="0057027E">
              <w:rPr>
                <w:rStyle w:val="Hiperligao"/>
                <w:noProof/>
              </w:rPr>
              <w:t>1-Análise Económica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787" w:history="1">
            <w:r w:rsidR="00474D73" w:rsidRPr="0057027E">
              <w:rPr>
                <w:rStyle w:val="Hiperligao"/>
                <w:noProof/>
              </w:rPr>
              <w:t>1.1-Proveitos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88" w:history="1">
            <w:r w:rsidR="00474D73" w:rsidRPr="0057027E">
              <w:rPr>
                <w:rStyle w:val="Hiperligao"/>
                <w:noProof/>
              </w:rPr>
              <w:t>1.1.1-Estrutura dos Proveitos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789" w:history="1">
            <w:r w:rsidR="00474D73" w:rsidRPr="0057027E">
              <w:rPr>
                <w:rStyle w:val="Hiperligao"/>
                <w:noProof/>
              </w:rPr>
              <w:t>1.2-Custos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0" w:history="1">
            <w:r w:rsidR="00474D73" w:rsidRPr="0057027E">
              <w:rPr>
                <w:rStyle w:val="Hiperligao"/>
                <w:noProof/>
              </w:rPr>
              <w:t>1.2.1-Estrutura de Custos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791" w:history="1">
            <w:r w:rsidR="00474D73" w:rsidRPr="0057027E">
              <w:rPr>
                <w:rStyle w:val="Hiperligao"/>
                <w:noProof/>
              </w:rPr>
              <w:t>1.3-Indicadores de Actividade e Produtividade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2" w:history="1">
            <w:r w:rsidR="00474D73" w:rsidRPr="0057027E">
              <w:rPr>
                <w:rStyle w:val="Hiperligao"/>
                <w:noProof/>
              </w:rPr>
              <w:t>1.3.1-Prazo médio de Pagamento (PMP)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3" w:history="1">
            <w:r w:rsidR="00474D73" w:rsidRPr="0057027E">
              <w:rPr>
                <w:rStyle w:val="Hiperligao"/>
                <w:noProof/>
              </w:rPr>
              <w:t>1.3.2 Prazo Médio de Recebimento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4" w:history="1">
            <w:r w:rsidR="00474D73" w:rsidRPr="0057027E">
              <w:rPr>
                <w:rStyle w:val="Hiperligao"/>
                <w:noProof/>
              </w:rPr>
              <w:t>1.3.3-Produtividade do Trabalho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5" w:history="1">
            <w:r w:rsidR="00474D73" w:rsidRPr="0057027E">
              <w:rPr>
                <w:rStyle w:val="Hiperligao"/>
                <w:noProof/>
              </w:rPr>
              <w:t>1.3.4-Produtividade do Equipamento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6" w:history="1">
            <w:r w:rsidR="00474D73" w:rsidRPr="0057027E">
              <w:rPr>
                <w:rStyle w:val="Hiperligao"/>
                <w:noProof/>
              </w:rPr>
              <w:t>1.3.5-Coeficiente Capital / Emprego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797" w:history="1">
            <w:r w:rsidR="00474D73" w:rsidRPr="0057027E">
              <w:rPr>
                <w:rStyle w:val="Hiperligao"/>
                <w:noProof/>
              </w:rPr>
              <w:t>1.4-Rendibilidade Económica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8" w:history="1">
            <w:r w:rsidR="00474D73" w:rsidRPr="0057027E">
              <w:rPr>
                <w:rStyle w:val="Hiperligao"/>
                <w:noProof/>
              </w:rPr>
              <w:t>1.4.1-Rendibilidade Operacional do Volume de Negócios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799" w:history="1">
            <w:r w:rsidR="00474D73" w:rsidRPr="0057027E">
              <w:rPr>
                <w:rStyle w:val="Hiperligao"/>
                <w:noProof/>
              </w:rPr>
              <w:t>1.4.2 Rendibilidade Liquida do Volume de Negócios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00" w:history="1">
            <w:r w:rsidR="00474D73" w:rsidRPr="0057027E">
              <w:rPr>
                <w:rStyle w:val="Hiperligao"/>
                <w:noProof/>
              </w:rPr>
              <w:t>1.4.3-Rotação do Activo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801" w:history="1">
            <w:r w:rsidR="00474D73" w:rsidRPr="0057027E">
              <w:rPr>
                <w:rStyle w:val="Hiperligao"/>
                <w:noProof/>
              </w:rPr>
              <w:t>2-Análise Financeira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802" w:history="1">
            <w:r w:rsidR="00474D73" w:rsidRPr="0057027E">
              <w:rPr>
                <w:rStyle w:val="Hiperligao"/>
                <w:noProof/>
              </w:rPr>
              <w:t>2.1-Liquidez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03" w:history="1">
            <w:r w:rsidR="00474D73" w:rsidRPr="0057027E">
              <w:rPr>
                <w:rStyle w:val="Hiperligao"/>
                <w:noProof/>
              </w:rPr>
              <w:t>2.1.1-Óptica Tradicional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804" w:history="1">
            <w:r w:rsidR="00474D73" w:rsidRPr="0057027E">
              <w:rPr>
                <w:rStyle w:val="Hiperligao"/>
                <w:noProof/>
              </w:rPr>
              <w:t>2.2-Óptica Funcional ou Moderna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05" w:history="1">
            <w:r w:rsidR="00474D73" w:rsidRPr="0057027E">
              <w:rPr>
                <w:rStyle w:val="Hiperligao"/>
                <w:noProof/>
              </w:rPr>
              <w:t>2.2.1-Fundo de Maneio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806" w:history="1">
            <w:r w:rsidR="00474D73" w:rsidRPr="0057027E">
              <w:rPr>
                <w:rStyle w:val="Hiperligao"/>
                <w:noProof/>
              </w:rPr>
              <w:t>2.3-Estrutura do Capital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07" w:history="1">
            <w:r w:rsidR="00474D73" w:rsidRPr="0057027E">
              <w:rPr>
                <w:rStyle w:val="Hiperligao"/>
                <w:noProof/>
              </w:rPr>
              <w:t>2.3.1-Endividamento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08" w:history="1">
            <w:r w:rsidR="00474D73" w:rsidRPr="0057027E">
              <w:rPr>
                <w:rStyle w:val="Hiperligao"/>
                <w:noProof/>
              </w:rPr>
              <w:t>2.3.2-Grau de Endividamento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09" w:history="1">
            <w:r w:rsidR="00474D73" w:rsidRPr="0057027E">
              <w:rPr>
                <w:rStyle w:val="Hiperligao"/>
                <w:noProof/>
              </w:rPr>
              <w:t>2.3.3-Estrutura do Endividamento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10" w:history="1">
            <w:r w:rsidR="00474D73" w:rsidRPr="0057027E">
              <w:rPr>
                <w:rStyle w:val="Hiperligao"/>
                <w:noProof/>
              </w:rPr>
              <w:t>2.3.4-Solvabilidade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811" w:history="1">
            <w:r w:rsidR="00474D73" w:rsidRPr="0057027E">
              <w:rPr>
                <w:rStyle w:val="Hiperligao"/>
                <w:noProof/>
              </w:rPr>
              <w:t>2.4-Rendibilidade Financeira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12" w:history="1">
            <w:r w:rsidR="00474D73" w:rsidRPr="0057027E">
              <w:rPr>
                <w:rStyle w:val="Hiperligao"/>
                <w:noProof/>
              </w:rPr>
              <w:t>2.4.1-Rendibilidade do Activo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13" w:history="1">
            <w:r w:rsidR="00474D73" w:rsidRPr="0057027E">
              <w:rPr>
                <w:rStyle w:val="Hiperligao"/>
                <w:noProof/>
              </w:rPr>
              <w:t>2.4.2-Rendibilidade de Capital Próprio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815" w:history="1">
            <w:r w:rsidR="00474D73" w:rsidRPr="0057027E">
              <w:rPr>
                <w:rStyle w:val="Hiperligao"/>
                <w:noProof/>
              </w:rPr>
              <w:t>3-Análise do Risco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16" w:history="1">
            <w:r w:rsidR="00474D73" w:rsidRPr="0057027E">
              <w:rPr>
                <w:rStyle w:val="Hiperligao"/>
                <w:noProof/>
              </w:rPr>
              <w:t>3.1.1-Grau da Alavanca Operacional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817" w:history="1">
            <w:r w:rsidR="00474D73" w:rsidRPr="0057027E">
              <w:rPr>
                <w:rStyle w:val="Hiperligao"/>
                <w:noProof/>
              </w:rPr>
              <w:t>3.2-Risco Financeiro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18" w:history="1">
            <w:r w:rsidR="00474D73" w:rsidRPr="0057027E">
              <w:rPr>
                <w:rStyle w:val="Hiperligao"/>
                <w:noProof/>
              </w:rPr>
              <w:t>3.2.1-Grau da Alavanca Financeira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2"/>
            <w:tabs>
              <w:tab w:val="right" w:leader="dot" w:pos="8494"/>
            </w:tabs>
            <w:rPr>
              <w:noProof/>
            </w:rPr>
          </w:pPr>
          <w:hyperlink w:anchor="_Toc280108819" w:history="1">
            <w:r w:rsidR="00474D73" w:rsidRPr="0057027E">
              <w:rPr>
                <w:rStyle w:val="Hiperligao"/>
                <w:noProof/>
              </w:rPr>
              <w:t>3.3-Risco Global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3"/>
            <w:tabs>
              <w:tab w:val="right" w:leader="dot" w:pos="8494"/>
            </w:tabs>
            <w:rPr>
              <w:noProof/>
            </w:rPr>
          </w:pPr>
          <w:hyperlink w:anchor="_Toc280108820" w:history="1">
            <w:r w:rsidR="00474D73" w:rsidRPr="0057027E">
              <w:rPr>
                <w:rStyle w:val="Hiperligao"/>
                <w:noProof/>
              </w:rPr>
              <w:t>3.3.1-Grau da Alavanca Combinada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821" w:history="1">
            <w:r w:rsidR="00474D73" w:rsidRPr="0057027E">
              <w:rPr>
                <w:rStyle w:val="Hiperligao"/>
                <w:noProof/>
              </w:rPr>
              <w:t>4-Cash-Flow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822" w:history="1">
            <w:r w:rsidR="00474D73" w:rsidRPr="0057027E">
              <w:rPr>
                <w:rStyle w:val="Hiperligao"/>
                <w:noProof/>
              </w:rPr>
              <w:t>Comentário á Demonstração de Resultados para Análise Financeira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823" w:history="1">
            <w:r w:rsidR="00474D73" w:rsidRPr="0057027E">
              <w:rPr>
                <w:rStyle w:val="Hiperligao"/>
                <w:rFonts w:eastAsia="Times New Roman"/>
                <w:noProof/>
                <w:lang w:eastAsia="pt-PT"/>
              </w:rPr>
              <w:t>Conclusão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824" w:history="1">
            <w:r w:rsidR="00474D73" w:rsidRPr="0057027E">
              <w:rPr>
                <w:rStyle w:val="Hiperligao"/>
                <w:rFonts w:eastAsia="Times New Roman"/>
                <w:noProof/>
                <w:lang w:eastAsia="pt-PT"/>
              </w:rPr>
              <w:t>Bibliografia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>
          <w:pPr>
            <w:pStyle w:val="ndice1"/>
            <w:tabs>
              <w:tab w:val="right" w:leader="dot" w:pos="8494"/>
            </w:tabs>
            <w:rPr>
              <w:noProof/>
            </w:rPr>
          </w:pPr>
          <w:hyperlink w:anchor="_Toc280108825" w:history="1">
            <w:r w:rsidR="00474D73" w:rsidRPr="0057027E">
              <w:rPr>
                <w:rStyle w:val="Hiperligao"/>
                <w:noProof/>
              </w:rPr>
              <w:t>Webgrafia</w:t>
            </w:r>
            <w:r w:rsidR="00474D7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74D73">
              <w:rPr>
                <w:noProof/>
                <w:webHidden/>
              </w:rPr>
              <w:instrText xml:space="preserve"> PAGEREF _Toc280108825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74D73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74D73" w:rsidRDefault="00DB435F" w:rsidP="00474D73">
          <w:pPr>
            <w:sectPr w:rsidR="00474D73" w:rsidSect="0083657C">
              <w:headerReference w:type="default" r:id="rId9"/>
              <w:footerReference w:type="default" r:id="rId10"/>
              <w:pgSz w:w="11906" w:h="16838"/>
              <w:pgMar w:top="1417" w:right="1701" w:bottom="1417" w:left="1701" w:header="708" w:footer="708" w:gutter="0"/>
              <w:cols w:space="708"/>
              <w:docGrid w:linePitch="360"/>
            </w:sectPr>
          </w:pPr>
          <w:r>
            <w:fldChar w:fldCharType="end"/>
          </w:r>
        </w:p>
      </w:sdtContent>
    </w:sdt>
    <w:bookmarkStart w:id="1" w:name="_Toc280108779" w:displacedByCustomXml="prev"/>
    <w:p w:rsidR="00474D73" w:rsidRDefault="00474D73" w:rsidP="00474D73">
      <w:pPr>
        <w:pStyle w:val="Ttulo1"/>
        <w:jc w:val="left"/>
      </w:pPr>
    </w:p>
    <w:p w:rsidR="00D002B2" w:rsidRPr="00D57DEB" w:rsidRDefault="00D002B2" w:rsidP="00D57DEB">
      <w:pPr>
        <w:pStyle w:val="Ttulo1"/>
      </w:pPr>
      <w:r w:rsidRPr="00D57DEB">
        <w:t>Introdução</w:t>
      </w:r>
      <w:bookmarkEnd w:id="1"/>
    </w:p>
    <w:p w:rsidR="00D002B2" w:rsidRDefault="00D002B2" w:rsidP="00A15EFB">
      <w:pPr>
        <w:spacing w:before="30" w:afterLines="3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002B2" w:rsidRPr="00D002B2" w:rsidRDefault="00D002B2" w:rsidP="00A15EFB">
      <w:pPr>
        <w:spacing w:before="30" w:afterLines="3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02B2">
        <w:rPr>
          <w:rFonts w:ascii="Times New Roman" w:eastAsia="Times New Roman" w:hAnsi="Times New Roman" w:cs="Times New Roman"/>
          <w:sz w:val="24"/>
          <w:szCs w:val="24"/>
          <w:lang w:eastAsia="ar-SA"/>
        </w:rPr>
        <w:t>No</w:t>
      </w:r>
      <w:r w:rsidRPr="00D002B2">
        <w:rPr>
          <w:rFonts w:ascii="Times New Roman" w:eastAsia="Calibri" w:hAnsi="Times New Roman" w:cs="Times New Roman"/>
          <w:sz w:val="24"/>
          <w:szCs w:val="24"/>
        </w:rPr>
        <w:t xml:space="preserve"> 1º semestre do ano lectivo 2010/2011, o docente da disciplina de Análise Financeira propões aos alunos do 2º ano de Contabilidade e Gestão Financeira a elaboração da análise da situação económica e financeira de uma empresa nos últimos três/quatro anos.</w:t>
      </w:r>
    </w:p>
    <w:p w:rsidR="00D002B2" w:rsidRPr="00D002B2" w:rsidRDefault="00D002B2" w:rsidP="00A15EFB">
      <w:pPr>
        <w:spacing w:before="30" w:afterLines="3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02B2">
        <w:rPr>
          <w:rFonts w:ascii="Times New Roman" w:eastAsia="Calibri" w:hAnsi="Times New Roman" w:cs="Times New Roman"/>
          <w:sz w:val="24"/>
          <w:szCs w:val="24"/>
        </w:rPr>
        <w:t>P</w:t>
      </w:r>
      <w:r w:rsidR="00EE7B2D">
        <w:rPr>
          <w:rFonts w:ascii="Times New Roman" w:eastAsia="Calibri" w:hAnsi="Times New Roman" w:cs="Times New Roman"/>
          <w:sz w:val="24"/>
          <w:szCs w:val="24"/>
        </w:rPr>
        <w:t>ara a realização dest</w:t>
      </w:r>
      <w:r w:rsidRPr="00D002B2">
        <w:rPr>
          <w:rFonts w:ascii="Times New Roman" w:eastAsia="Calibri" w:hAnsi="Times New Roman" w:cs="Times New Roman"/>
          <w:sz w:val="24"/>
          <w:szCs w:val="24"/>
        </w:rPr>
        <w:t>e trabalho escolhe-mos a empresa “Compta, equipamentos e serviços de informática, SA”.</w:t>
      </w:r>
    </w:p>
    <w:p w:rsidR="00D002B2" w:rsidRPr="00D002B2" w:rsidRDefault="00D002B2" w:rsidP="00C423B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À</w:t>
      </w:r>
      <w:r w:rsidRPr="00D002B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análise financeira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compete</w:t>
      </w:r>
      <w:r w:rsidRPr="00D002B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avaliar a rentabilidade empresarial tendo em vista, em função das condições actuais e futuras, verificar se os capitais investidos são remunerados e reembolsados de modo a que as receitas geradas superem as despesas de investimento e de funcionamento realizadas num dado período de tempo. </w:t>
      </w:r>
    </w:p>
    <w:p w:rsidR="00D002B2" w:rsidRPr="00D002B2" w:rsidRDefault="00D002B2" w:rsidP="00C423B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D002B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Através da análise financeira pode analisar-se o desempenho histórico da empresa e avaliar a sua actual situação financeira. Poderemos verificar se esta se encontra dentro dos parâmetros médios do sector, compreender as políticas seguidas por um concorrente, ou verificar a saúde financeira da empresa através do grau de cumprimento dos objectivos propostos. </w:t>
      </w:r>
    </w:p>
    <w:p w:rsidR="00D002B2" w:rsidRPr="00D002B2" w:rsidRDefault="00D002B2" w:rsidP="00C423B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D002B2">
        <w:rPr>
          <w:rFonts w:ascii="Times New Roman" w:eastAsia="Calibri" w:hAnsi="Times New Roman" w:cs="Times New Roman"/>
          <w:sz w:val="24"/>
          <w:szCs w:val="24"/>
        </w:rPr>
        <w:t>Para se verificar a situação financeira de uma empresa ou prognósticos sobre o seu desempenho futuro irá ser feita uma análise tendo como recurso alguns indicadores, sendo que os mais utilizados são aqueles que assumem a forma de rácios.</w:t>
      </w:r>
    </w:p>
    <w:p w:rsidR="00D002B2" w:rsidRPr="00D002B2" w:rsidRDefault="00D002B2" w:rsidP="00C423B4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D002B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Os rácios económico-financeiros são um instrumento prático para resumir um grande número de dados económicos e financeiros e para comparar o desempenho das empresas, ajudando-as a fazer as perguntas certas, embora nem sempre tenham capacidade para fornecer as respostas. </w:t>
      </w:r>
    </w:p>
    <w:p w:rsidR="00D57DEB" w:rsidRPr="00D57DEB" w:rsidRDefault="00D002B2" w:rsidP="00D57D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002B2">
        <w:rPr>
          <w:rFonts w:ascii="Times New Roman" w:eastAsia="Times New Roman" w:hAnsi="Times New Roman" w:cs="Times New Roman"/>
          <w:sz w:val="24"/>
          <w:szCs w:val="24"/>
          <w:lang w:eastAsia="ar-SA"/>
        </w:rPr>
        <w:t>Os rácios apenas constituem um instrumento de análise, que deve, ser complementado por outros tantos.</w:t>
      </w:r>
    </w:p>
    <w:p w:rsidR="00661A01" w:rsidRPr="00D57DEB" w:rsidRDefault="00661A01" w:rsidP="00D57DEB">
      <w:pPr>
        <w:pStyle w:val="Ttulo1"/>
      </w:pPr>
      <w:bookmarkStart w:id="2" w:name="_Toc280108780"/>
      <w:r w:rsidRPr="00D57DEB">
        <w:lastRenderedPageBreak/>
        <w:t>Caracterização da empresa</w:t>
      </w:r>
      <w:bookmarkEnd w:id="2"/>
    </w:p>
    <w:p w:rsidR="00661A01" w:rsidRPr="00FD7944" w:rsidRDefault="00661A01" w:rsidP="00C423B4">
      <w:pPr>
        <w:spacing w:line="36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</w:p>
    <w:p w:rsidR="00661A01" w:rsidRDefault="00661A01" w:rsidP="003A44CE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Calibri" w:hAnsi="Times New Roman" w:cs="Times New Roman"/>
          <w:sz w:val="24"/>
          <w:szCs w:val="24"/>
        </w:rPr>
        <w:t xml:space="preserve">Compta é uma empresa portuguesa constituída em 13 de Maio de 1972, </w:t>
      </w:r>
      <w:r w:rsidRPr="00661A01">
        <w:rPr>
          <w:rFonts w:ascii="Times New Roman" w:hAnsi="Times New Roman" w:cs="Times New Roman"/>
          <w:sz w:val="24"/>
          <w:szCs w:val="24"/>
        </w:rPr>
        <w:t>como</w:t>
      </w:r>
      <w:r w:rsidRPr="00661A01">
        <w:t xml:space="preserve"> </w:t>
      </w:r>
      <w:r w:rsidRPr="00661A01">
        <w:rPr>
          <w:rFonts w:ascii="Times New Roman" w:hAnsi="Times New Roman" w:cs="Times New Roman"/>
          <w:sz w:val="24"/>
          <w:szCs w:val="24"/>
        </w:rPr>
        <w:t>integradora de soluções, nas áreas de Telecomunicações e Sistemas de Informação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61A01">
        <w:rPr>
          <w:rFonts w:ascii="Times New Roman" w:eastAsia="Calibri" w:hAnsi="Times New Roman" w:cs="Times New Roman"/>
          <w:sz w:val="24"/>
          <w:szCs w:val="24"/>
        </w:rPr>
        <w:t>recebeu a designação de Compta, Equipamentos e Serviços de Informática, SA (sociedade aberta)</w:t>
      </w:r>
      <w:r w:rsidRPr="00661A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Foi constituída com capital social de </w:t>
      </w:r>
      <w:r w:rsidRPr="00661A01">
        <w:rPr>
          <w:rFonts w:ascii="Calibri" w:eastAsia="Calibri" w:hAnsi="Calibri" w:cs="Times New Roman"/>
        </w:rPr>
        <w:t xml:space="preserve"> </w:t>
      </w:r>
      <w:r w:rsidRPr="00661A01">
        <w:rPr>
          <w:rFonts w:ascii="Times New Roman" w:eastAsia="Calibri" w:hAnsi="Times New Roman" w:cs="Times New Roman"/>
          <w:sz w:val="24"/>
          <w:szCs w:val="24"/>
        </w:rPr>
        <w:t>14.775.000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euros.</w:t>
      </w:r>
    </w:p>
    <w:p w:rsidR="00661A01" w:rsidRDefault="00661A01" w:rsidP="003A44C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1A01">
        <w:rPr>
          <w:rFonts w:ascii="Calibri" w:eastAsia="Calibri" w:hAnsi="Calibri" w:cs="Times New Roman"/>
        </w:rPr>
        <w:t xml:space="preserve">  </w:t>
      </w:r>
      <w:r w:rsidRPr="00661A01">
        <w:t xml:space="preserve"> </w:t>
      </w:r>
      <w:r w:rsidRPr="00661A01">
        <w:rPr>
          <w:rFonts w:ascii="Times New Roman" w:hAnsi="Times New Roman" w:cs="Times New Roman"/>
          <w:sz w:val="24"/>
          <w:szCs w:val="24"/>
        </w:rPr>
        <w:t>Tem por missão seleccionar no mercado mundial as melhores tecnologias, adaptando-as ao mercado português, de forma a poder apresentar uma gama completa e coerente de produtos e soluções que ajudem as empresas a melhorar o seu desempenho nas respectivas áreas de negócio.</w:t>
      </w:r>
    </w:p>
    <w:p w:rsidR="00A2454A" w:rsidRDefault="00A2454A" w:rsidP="003A44C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454A">
        <w:rPr>
          <w:rFonts w:ascii="Times New Roman" w:eastAsia="Times New Roman" w:hAnsi="Times New Roman" w:cs="Times New Roman"/>
          <w:sz w:val="24"/>
          <w:szCs w:val="24"/>
          <w:lang w:eastAsia="ar-SA"/>
        </w:rPr>
        <w:t>Tem sede em Lisboa e delegações no Porto e em Loulé, a Compta possui ainda pólos técnicos em Leiria, na Guarda e em Castelo Branco, além de parceiros locais nas regiões Autónomas dos Açores e da Madeira, oferecendo assim uma cobertura integral do território nacional.</w:t>
      </w:r>
    </w:p>
    <w:p w:rsidR="00CE0D85" w:rsidRDefault="00CE0D85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D85">
        <w:rPr>
          <w:rFonts w:ascii="Times New Roman" w:hAnsi="Times New Roman" w:cs="Times New Roman"/>
          <w:sz w:val="24"/>
          <w:szCs w:val="24"/>
        </w:rPr>
        <w:t>A COMPTA possui a certificação ISO 9001 desde Maio de 1997.  A ISO 9001 refere as exigências de um sistema de gestão da qualidade com vista à eficácia na satisfação do cliente. A certificação do sistema de gestão da qualidade de uma empresa é o reconhecimento por uma entidade externa e independente de que a empresa satisfaz o cliente e as exigências legais e regulamentares, de uma forma eficaz.</w:t>
      </w:r>
    </w:p>
    <w:p w:rsidR="00CE0D85" w:rsidRDefault="00CE0D85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D85">
        <w:rPr>
          <w:rFonts w:ascii="Times New Roman" w:hAnsi="Times New Roman" w:cs="Times New Roman"/>
          <w:sz w:val="24"/>
          <w:szCs w:val="24"/>
        </w:rPr>
        <w:t>A Compta oferece aos seus Clientes em termos de capac</w:t>
      </w:r>
      <w:r>
        <w:rPr>
          <w:rFonts w:ascii="Times New Roman" w:hAnsi="Times New Roman" w:cs="Times New Roman"/>
          <w:sz w:val="24"/>
          <w:szCs w:val="24"/>
        </w:rPr>
        <w:t xml:space="preserve">idade de serviço, uma cobertura </w:t>
      </w:r>
      <w:r w:rsidRPr="00CE0D85">
        <w:rPr>
          <w:rFonts w:ascii="Times New Roman" w:hAnsi="Times New Roman" w:cs="Times New Roman"/>
          <w:sz w:val="24"/>
          <w:szCs w:val="24"/>
        </w:rPr>
        <w:t>integral do território nacional.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E0D85">
        <w:rPr>
          <w:rFonts w:ascii="Times New Roman" w:hAnsi="Times New Roman" w:cs="Times New Roman"/>
          <w:sz w:val="24"/>
          <w:szCs w:val="24"/>
        </w:rPr>
        <w:t>Das mais de 200 pessoas que a integram, cerca de 70% são técnicos especializados que constituem as equipas de Consultoria, Projecto, Instalação e Suporte Técnico Pós-Venda.</w:t>
      </w:r>
    </w:p>
    <w:p w:rsidR="00F05150" w:rsidRDefault="00F05150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5150" w:rsidRDefault="00F05150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5150" w:rsidRDefault="00F05150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5150" w:rsidRDefault="00F05150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5150" w:rsidRDefault="00F05150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5150" w:rsidRDefault="00F05150" w:rsidP="003A44C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5150" w:rsidRPr="00FD7944" w:rsidRDefault="00F05150" w:rsidP="00F05150">
      <w:pPr>
        <w:pStyle w:val="Ttulo1"/>
      </w:pPr>
      <w:bookmarkStart w:id="3" w:name="_Toc280108781"/>
      <w:r w:rsidRPr="00FD7944">
        <w:lastRenderedPageBreak/>
        <w:t>Órgãos Sociais</w:t>
      </w:r>
      <w:bookmarkEnd w:id="3"/>
    </w:p>
    <w:p w:rsidR="00F05150" w:rsidRPr="00FD7944" w:rsidRDefault="00F05150" w:rsidP="00D57DEB">
      <w:pPr>
        <w:pStyle w:val="Ttulo2"/>
      </w:pPr>
      <w:bookmarkStart w:id="4" w:name="_Toc280108782"/>
      <w:r w:rsidRPr="00FD7944">
        <w:t>Organograma</w:t>
      </w:r>
      <w:bookmarkEnd w:id="4"/>
    </w:p>
    <w:p w:rsidR="00F05150" w:rsidRDefault="00F05150" w:rsidP="00D57DEB">
      <w:pPr>
        <w:pStyle w:val="Ttulo2"/>
        <w:rPr>
          <w:rFonts w:cs="Times New Roman"/>
          <w:szCs w:val="24"/>
        </w:rPr>
      </w:pPr>
    </w:p>
    <w:p w:rsidR="00F05150" w:rsidRPr="00F05150" w:rsidRDefault="00F05150" w:rsidP="00F051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5150">
        <w:rPr>
          <w:rFonts w:ascii="Times New Roman" w:hAnsi="Times New Roman" w:cs="Times New Roman"/>
          <w:sz w:val="24"/>
          <w:szCs w:val="24"/>
        </w:rPr>
        <w:t xml:space="preserve">O organograma apresentado a seguir traduz o resultado do conjunto de medidas introduzidas na organização bem como a interacção operacional entre algumas das empresas do Grupo. </w:t>
      </w:r>
    </w:p>
    <w:p w:rsidR="00F05150" w:rsidRDefault="00F05150" w:rsidP="00F0515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290195</wp:posOffset>
            </wp:positionH>
            <wp:positionV relativeFrom="paragraph">
              <wp:posOffset>122555</wp:posOffset>
            </wp:positionV>
            <wp:extent cx="4400550" cy="4372610"/>
            <wp:effectExtent l="1905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37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P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F05150" w:rsidRDefault="00F05150" w:rsidP="00F05150">
      <w:pPr>
        <w:rPr>
          <w:rFonts w:ascii="Times New Roman" w:hAnsi="Times New Roman" w:cs="Times New Roman"/>
          <w:sz w:val="24"/>
          <w:szCs w:val="24"/>
        </w:rPr>
      </w:pPr>
    </w:p>
    <w:p w:rsidR="00A2454A" w:rsidRDefault="00F05150" w:rsidP="00F05150">
      <w:pPr>
        <w:spacing w:line="360" w:lineRule="auto"/>
        <w:ind w:firstLine="709"/>
        <w:jc w:val="both"/>
        <w:rPr>
          <w:lang w:eastAsia="pt-PT"/>
        </w:rPr>
      </w:pPr>
      <w:r w:rsidRPr="00F05150">
        <w:rPr>
          <w:rFonts w:ascii="Times New Roman" w:hAnsi="Times New Roman" w:cs="Times New Roman"/>
          <w:sz w:val="24"/>
          <w:szCs w:val="24"/>
          <w:lang w:eastAsia="pt-PT"/>
        </w:rPr>
        <w:t>Entre os administradores da sociedade, três deles são independentes em relação aos accionistas dominantes. Daqueles um exerce uma orientação permanente em relação à gestão da sociedade e os restantes são não executivos</w:t>
      </w:r>
      <w:r w:rsidRPr="00595E15">
        <w:rPr>
          <w:lang w:eastAsia="pt-PT"/>
        </w:rPr>
        <w:t>.</w:t>
      </w:r>
    </w:p>
    <w:p w:rsidR="00F05150" w:rsidRDefault="00F05150" w:rsidP="00B162E3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  <w:r w:rsidRPr="00F05150">
        <w:rPr>
          <w:rFonts w:ascii="Times New Roman" w:hAnsi="Times New Roman" w:cs="Times New Roman"/>
          <w:sz w:val="24"/>
          <w:szCs w:val="24"/>
          <w:lang w:eastAsia="pt-PT"/>
        </w:rPr>
        <w:t>Os administradores executivos e não executivos reúnem-se com regularidade, pelo menos mensalmente, para análise da actividade e dos resultados decorrentes da orientação imprimida à sociedade</w:t>
      </w:r>
      <w:r>
        <w:rPr>
          <w:rFonts w:ascii="Times New Roman" w:hAnsi="Times New Roman" w:cs="Times New Roman"/>
          <w:sz w:val="24"/>
          <w:szCs w:val="24"/>
          <w:lang w:eastAsia="pt-PT"/>
        </w:rPr>
        <w:t>.</w:t>
      </w:r>
    </w:p>
    <w:p w:rsidR="00F05150" w:rsidRPr="00F05150" w:rsidRDefault="00F05150" w:rsidP="00B162E3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  <w:r w:rsidRPr="00F05150">
        <w:rPr>
          <w:rFonts w:ascii="Times New Roman" w:hAnsi="Times New Roman" w:cs="Times New Roman"/>
          <w:sz w:val="24"/>
          <w:szCs w:val="24"/>
          <w:lang w:eastAsia="pt-PT"/>
        </w:rPr>
        <w:t xml:space="preserve">O Conselho de Administração reúne-se quinzenalmente com os Assessores da Administração, passando em revista a actividade desenvolvida na </w:t>
      </w:r>
      <w:r w:rsidRPr="00F05150">
        <w:rPr>
          <w:rFonts w:ascii="Times New Roman" w:hAnsi="Times New Roman" w:cs="Times New Roman"/>
          <w:sz w:val="24"/>
          <w:szCs w:val="24"/>
          <w:lang w:eastAsia="pt-PT"/>
        </w:rPr>
        <w:lastRenderedPageBreak/>
        <w:t>quinzena, analisando as perspectivas e equacionando as medidas que se imponham.</w:t>
      </w:r>
    </w:p>
    <w:p w:rsidR="00F05150" w:rsidRDefault="00B162E3" w:rsidP="00B162E3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  <w:r w:rsidRPr="00B162E3">
        <w:rPr>
          <w:rFonts w:ascii="Times New Roman" w:hAnsi="Times New Roman" w:cs="Times New Roman"/>
          <w:sz w:val="24"/>
          <w:szCs w:val="24"/>
        </w:rPr>
        <w:t>A sociedade dispõe de um sistema interno de controlo para detecção dos riscos inerentes à actividade da empresa, devidamente adaptado à sua dimen</w:t>
      </w:r>
      <w:r>
        <w:rPr>
          <w:rFonts w:ascii="Times New Roman" w:hAnsi="Times New Roman" w:cs="Times New Roman"/>
          <w:sz w:val="24"/>
          <w:szCs w:val="24"/>
        </w:rPr>
        <w:t>são e tipo de actividade, basea</w:t>
      </w:r>
      <w:r w:rsidRPr="00B162E3">
        <w:rPr>
          <w:rFonts w:ascii="Times New Roman" w:hAnsi="Times New Roman" w:cs="Times New Roman"/>
          <w:sz w:val="24"/>
          <w:szCs w:val="24"/>
        </w:rPr>
        <w:t>do em auditorias efectuadas, pelo menos, 2 vezes por ano.</w:t>
      </w:r>
    </w:p>
    <w:p w:rsidR="00B162E3" w:rsidRDefault="00B162E3" w:rsidP="00B162E3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  <w:r w:rsidRPr="00B162E3">
        <w:rPr>
          <w:rFonts w:ascii="Times New Roman" w:hAnsi="Times New Roman" w:cs="Times New Roman"/>
          <w:sz w:val="24"/>
          <w:szCs w:val="24"/>
          <w:lang w:eastAsia="pt-PT"/>
        </w:rPr>
        <w:t>Os membros da administração não têm as suas remunerações dependentes directamente dos resultados da sociedade.</w:t>
      </w:r>
    </w:p>
    <w:p w:rsidR="00B162E3" w:rsidRPr="00B162E3" w:rsidRDefault="00B162E3" w:rsidP="00B162E3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  <w:r w:rsidRPr="00B162E3">
        <w:rPr>
          <w:rFonts w:ascii="Times New Roman" w:hAnsi="Times New Roman" w:cs="Times New Roman"/>
          <w:sz w:val="24"/>
          <w:szCs w:val="24"/>
          <w:lang w:eastAsia="pt-PT"/>
        </w:rPr>
        <w:t>As condições remuneratórias são fixadas por uma Comissão de Vencimentos, eleita pelos accionistas. Nunca foi proposto qualquer plano de atribuição de acções ou de opções de sua aquisição e não está previsto para um futuro próximo.</w:t>
      </w:r>
    </w:p>
    <w:p w:rsidR="00B162E3" w:rsidRDefault="00B162E3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D57DEB" w:rsidRDefault="00D57DEB" w:rsidP="00B162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B162E3" w:rsidRPr="00D57DEB" w:rsidRDefault="00B162E3" w:rsidP="00D57DEB">
      <w:pPr>
        <w:pStyle w:val="Ttulo1"/>
      </w:pPr>
      <w:bookmarkStart w:id="5" w:name="_Toc280108783"/>
      <w:r w:rsidRPr="00D57DEB">
        <w:lastRenderedPageBreak/>
        <w:t>Enquadramento Macroeconómico</w:t>
      </w:r>
      <w:bookmarkEnd w:id="5"/>
    </w:p>
    <w:p w:rsidR="00B162E3" w:rsidRDefault="00B162E3" w:rsidP="00B16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62E3" w:rsidRDefault="00B162E3" w:rsidP="00B162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62E3">
        <w:rPr>
          <w:rFonts w:ascii="Times New Roman" w:hAnsi="Times New Roman" w:cs="Times New Roman"/>
          <w:sz w:val="24"/>
          <w:szCs w:val="24"/>
        </w:rPr>
        <w:t>O ano de 2009 manteve as características de que a economia se revestiu no ano anterior que, como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2E3">
        <w:rPr>
          <w:rFonts w:ascii="Times New Roman" w:hAnsi="Times New Roman" w:cs="Times New Roman"/>
          <w:sz w:val="24"/>
          <w:szCs w:val="24"/>
        </w:rPr>
        <w:t>sabe, esteve sujeito às pressões da maior crise económica dos últimos 70 anos, crise esta que irrompeu no sector financeiro mas que rapidamente transbordou para a economia real e se espalhou por,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2E3">
        <w:rPr>
          <w:rFonts w:ascii="Times New Roman" w:hAnsi="Times New Roman" w:cs="Times New Roman"/>
          <w:sz w:val="24"/>
          <w:szCs w:val="24"/>
        </w:rPr>
        <w:t>praticamente, a generalidade das economias mundiais, entre as quais a portuguesa.</w:t>
      </w:r>
    </w:p>
    <w:p w:rsidR="00B162E3" w:rsidRDefault="00B162E3" w:rsidP="00B162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62E3">
        <w:rPr>
          <w:rFonts w:ascii="Times New Roman" w:hAnsi="Times New Roman" w:cs="Times New Roman"/>
          <w:sz w:val="24"/>
          <w:szCs w:val="24"/>
        </w:rPr>
        <w:t xml:space="preserve">Na União Europeia (EU), espaço onde a economia portuguesa se </w:t>
      </w:r>
      <w:proofErr w:type="gramStart"/>
      <w:r w:rsidR="00D57DEB">
        <w:rPr>
          <w:rFonts w:ascii="Times New Roman" w:hAnsi="Times New Roman" w:cs="Times New Roman"/>
          <w:sz w:val="24"/>
          <w:szCs w:val="24"/>
        </w:rPr>
        <w:t>i</w:t>
      </w:r>
      <w:r w:rsidR="00D57DEB" w:rsidRPr="00B162E3">
        <w:rPr>
          <w:rFonts w:ascii="Times New Roman" w:hAnsi="Times New Roman" w:cs="Times New Roman"/>
          <w:sz w:val="24"/>
          <w:szCs w:val="24"/>
        </w:rPr>
        <w:t>ntegra</w:t>
      </w:r>
      <w:proofErr w:type="gramEnd"/>
      <w:r w:rsidRPr="00B162E3">
        <w:rPr>
          <w:rFonts w:ascii="Times New Roman" w:hAnsi="Times New Roman" w:cs="Times New Roman"/>
          <w:sz w:val="24"/>
          <w:szCs w:val="24"/>
        </w:rPr>
        <w:t>, a taxa de crescimento do PIB que em 2008 se tinha mostrado ainda positiva, na ordem de 1%, apresentou em 2009 uma regressão acentuada, a rondar os 4%. Algumas previsões, v.g. a do FMI, apontam para uma inversão desta tendência já em 2010. Também na área mais restrita do euro (A€) a evolução mostra a mesma tendência:</w:t>
      </w:r>
    </w:p>
    <w:p w:rsidR="00B162E3" w:rsidRPr="00B162E3" w:rsidRDefault="00B162E3" w:rsidP="00B162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862965</wp:posOffset>
            </wp:positionH>
            <wp:positionV relativeFrom="paragraph">
              <wp:posOffset>173355</wp:posOffset>
            </wp:positionV>
            <wp:extent cx="3375660" cy="2059305"/>
            <wp:effectExtent l="1905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205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2E3" w:rsidRPr="00B162E3" w:rsidRDefault="00B162E3" w:rsidP="00B162E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PT"/>
        </w:rPr>
      </w:pPr>
    </w:p>
    <w:p w:rsidR="00F05150" w:rsidRDefault="00F05150" w:rsidP="00F05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62E3" w:rsidRDefault="00B162E3" w:rsidP="00F05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62E3" w:rsidRDefault="00B162E3" w:rsidP="00F05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62E3" w:rsidRDefault="00B162E3" w:rsidP="00B162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:rsidR="00B162E3" w:rsidRDefault="00B162E3" w:rsidP="003B7933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B7933">
        <w:rPr>
          <w:rFonts w:ascii="Times New Roman" w:hAnsi="Times New Roman" w:cs="Times New Roman"/>
          <w:sz w:val="24"/>
          <w:szCs w:val="24"/>
        </w:rPr>
        <w:t>Também em termos de desemprego, em 2009, a respectiva taxa mostrou, nas mesmas áreas, evolução</w:t>
      </w:r>
      <w:r w:rsidR="003B7933" w:rsidRPr="003B7933">
        <w:rPr>
          <w:rFonts w:ascii="Times New Roman" w:hAnsi="Times New Roman" w:cs="Times New Roman"/>
          <w:sz w:val="24"/>
          <w:szCs w:val="24"/>
        </w:rPr>
        <w:t xml:space="preserve"> d</w:t>
      </w:r>
      <w:r w:rsidRPr="003B7933">
        <w:rPr>
          <w:rFonts w:ascii="Times New Roman" w:hAnsi="Times New Roman" w:cs="Times New Roman"/>
          <w:sz w:val="24"/>
          <w:szCs w:val="24"/>
        </w:rPr>
        <w:t>esfavorável</w:t>
      </w:r>
      <w:r w:rsidR="003B7933" w:rsidRPr="003B7933">
        <w:rPr>
          <w:rFonts w:ascii="Times New Roman" w:hAnsi="Times New Roman" w:cs="Times New Roman"/>
          <w:sz w:val="24"/>
          <w:szCs w:val="24"/>
        </w:rPr>
        <w:t>:</w:t>
      </w: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>
            <wp:extent cx="4349156" cy="2377440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054" cy="2379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PT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330200</wp:posOffset>
            </wp:positionH>
            <wp:positionV relativeFrom="paragraph">
              <wp:posOffset>1428115</wp:posOffset>
            </wp:positionV>
            <wp:extent cx="4727575" cy="1955800"/>
            <wp:effectExtent l="1905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575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7933">
        <w:rPr>
          <w:rFonts w:ascii="Times New Roman" w:hAnsi="Times New Roman" w:cs="Times New Roman"/>
          <w:sz w:val="24"/>
          <w:szCs w:val="24"/>
        </w:rPr>
        <w:t>Portugal, para além das condicionantes que caracterizam a sua economia, nomeadamente em termos de produtividade, de dependência das exportações e da rigidez da legislação laboral, tem vindo a sofrer o reflexo do que se passa no resto da economia, que se apresenta cada vez mais global. A evolução da nossa economia está sintetizada no seguinte conjunto de indicadores:</w:t>
      </w:r>
    </w:p>
    <w:p w:rsidR="003B7933" w:rsidRDefault="003B7933" w:rsidP="003B79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933">
        <w:rPr>
          <w:rFonts w:ascii="Times New Roman" w:hAnsi="Times New Roman" w:cs="Times New Roman"/>
          <w:sz w:val="24"/>
          <w:szCs w:val="24"/>
        </w:rPr>
        <w:t xml:space="preserve">De reter, também, que depois de ter registado uma quebra de 17,1% em 2009, há a expectativa de que o investimento empresarial venha a crescer 1,4% em 2010, conforme consta dos resultados do Inquérito de Conjuntura ao Investimento do INE (Outubro de 2009). Esta perspectiva é, naturalmente, animadora para a </w:t>
      </w:r>
      <w:proofErr w:type="spellStart"/>
      <w:r w:rsidRPr="003B7933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3B7933">
        <w:rPr>
          <w:rFonts w:ascii="Times New Roman" w:hAnsi="Times New Roman" w:cs="Times New Roman"/>
          <w:sz w:val="24"/>
          <w:szCs w:val="24"/>
        </w:rPr>
        <w:t>, na medida em que a empresa tem uma componente muito significativa do seu negócio em clientes da área empresarial.</w:t>
      </w: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7933" w:rsidRPr="007264AD" w:rsidRDefault="003B7933" w:rsidP="00D57DEB">
      <w:pPr>
        <w:pStyle w:val="Ttulo1"/>
      </w:pPr>
      <w:bookmarkStart w:id="6" w:name="_Toc280108784"/>
      <w:r w:rsidRPr="007264AD">
        <w:lastRenderedPageBreak/>
        <w:t>Análise da Actividade</w:t>
      </w:r>
      <w:bookmarkEnd w:id="6"/>
    </w:p>
    <w:p w:rsidR="003B7933" w:rsidRDefault="003B7933" w:rsidP="00D57DEB">
      <w:pPr>
        <w:pStyle w:val="Ttulo1"/>
      </w:pP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933">
        <w:rPr>
          <w:rFonts w:ascii="Times New Roman" w:hAnsi="Times New Roman" w:cs="Times New Roman"/>
          <w:sz w:val="24"/>
          <w:szCs w:val="24"/>
        </w:rPr>
        <w:t xml:space="preserve">Da circunstância da </w:t>
      </w:r>
      <w:proofErr w:type="spellStart"/>
      <w:r w:rsidRPr="003B7933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3B7933">
        <w:rPr>
          <w:rFonts w:ascii="Times New Roman" w:hAnsi="Times New Roman" w:cs="Times New Roman"/>
          <w:sz w:val="24"/>
          <w:szCs w:val="24"/>
        </w:rPr>
        <w:t xml:space="preserve"> ser uma </w:t>
      </w:r>
      <w:r w:rsidRPr="003B7933">
        <w:rPr>
          <w:rFonts w:ascii="Times New Roman" w:hAnsi="Times New Roman" w:cs="Times New Roman"/>
          <w:i/>
          <w:iCs/>
          <w:sz w:val="24"/>
          <w:szCs w:val="24"/>
        </w:rPr>
        <w:t>holding</w:t>
      </w:r>
      <w:r w:rsidRPr="003B7933">
        <w:rPr>
          <w:rFonts w:ascii="Times New Roman" w:hAnsi="Times New Roman" w:cs="Times New Roman"/>
          <w:sz w:val="24"/>
          <w:szCs w:val="24"/>
        </w:rPr>
        <w:t>, com actividade própria expressiva no Grupo, decorre que o consolidado exprime dimensão de valores de ordem patrimonial e de conteúdo económico grandemente influenciado pelos valores das contas simples da casa-mãe.</w:t>
      </w:r>
    </w:p>
    <w:p w:rsidR="003B7933" w:rsidRDefault="003B7933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7933">
        <w:rPr>
          <w:rFonts w:ascii="Times New Roman" w:hAnsi="Times New Roman" w:cs="Times New Roman"/>
          <w:sz w:val="24"/>
          <w:szCs w:val="24"/>
        </w:rPr>
        <w:t>No exercício de 2009 cabe realçar, quanto ao Grupo, a evolução dos dados financeiros mais significativos:</w:t>
      </w:r>
    </w:p>
    <w:p w:rsidR="00CC198E" w:rsidRDefault="00CC198E" w:rsidP="003B793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815340</wp:posOffset>
            </wp:positionH>
            <wp:positionV relativeFrom="paragraph">
              <wp:posOffset>45085</wp:posOffset>
            </wp:positionV>
            <wp:extent cx="3908425" cy="4802505"/>
            <wp:effectExtent l="19050" t="0" r="0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25" cy="480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3B7933" w:rsidRDefault="003B7933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CC198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98E">
        <w:rPr>
          <w:rFonts w:ascii="Times New Roman" w:hAnsi="Times New Roman" w:cs="Times New Roman"/>
          <w:sz w:val="24"/>
          <w:szCs w:val="24"/>
        </w:rPr>
        <w:t>De entre estes entende-se sublinhar:</w:t>
      </w:r>
    </w:p>
    <w:p w:rsidR="00CC198E" w:rsidRDefault="00CC198E" w:rsidP="00CC19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C198E">
        <w:rPr>
          <w:rFonts w:ascii="Times New Roman" w:hAnsi="Times New Roman" w:cs="Times New Roman"/>
          <w:sz w:val="24"/>
          <w:szCs w:val="24"/>
        </w:rPr>
        <w:t xml:space="preserve"> evolução do capital nominal, seu reflexo no capital próp</w:t>
      </w:r>
      <w:r>
        <w:rPr>
          <w:rFonts w:ascii="Times New Roman" w:hAnsi="Times New Roman" w:cs="Times New Roman"/>
          <w:sz w:val="24"/>
          <w:szCs w:val="24"/>
        </w:rPr>
        <w:t>rio e influência nos resultados;</w:t>
      </w:r>
    </w:p>
    <w:p w:rsidR="00CC198E" w:rsidRDefault="00CC198E" w:rsidP="00CC19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98E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edução do activo não corrente;</w:t>
      </w:r>
    </w:p>
    <w:p w:rsidR="00CC198E" w:rsidRDefault="00CC198E" w:rsidP="00CC19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CC198E">
        <w:rPr>
          <w:rFonts w:ascii="Times New Roman" w:hAnsi="Times New Roman" w:cs="Times New Roman"/>
          <w:sz w:val="24"/>
          <w:szCs w:val="24"/>
        </w:rPr>
        <w:t>rescimento do volume de negócios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C198E" w:rsidRPr="00CC198E" w:rsidRDefault="00CC198E" w:rsidP="00CC198E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Pr="00CC198E">
        <w:rPr>
          <w:rFonts w:ascii="Times New Roman" w:hAnsi="Times New Roman" w:cs="Times New Roman"/>
          <w:sz w:val="24"/>
          <w:szCs w:val="24"/>
        </w:rPr>
        <w:t>volução positiva dos resultados líquidos</w:t>
      </w:r>
      <w:r>
        <w:rPr>
          <w:rFonts w:ascii="Calibri" w:hAnsi="Calibri" w:cs="Calibri"/>
          <w:sz w:val="20"/>
          <w:szCs w:val="20"/>
        </w:rPr>
        <w:t>.</w:t>
      </w:r>
    </w:p>
    <w:p w:rsidR="00CC198E" w:rsidRDefault="00CC198E" w:rsidP="00CC19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C198E">
        <w:rPr>
          <w:rFonts w:ascii="Times New Roman" w:hAnsi="Times New Roman" w:cs="Times New Roman"/>
          <w:sz w:val="24"/>
          <w:szCs w:val="24"/>
        </w:rPr>
        <w:t>s factos mais relevantes ocorridos no exercício, nas diferentes sociedades incluídas no perímetro da consolidação:</w:t>
      </w:r>
    </w:p>
    <w:p w:rsidR="00CC198E" w:rsidRDefault="00CC198E" w:rsidP="00CC19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29210</wp:posOffset>
            </wp:positionV>
            <wp:extent cx="3733800" cy="2694940"/>
            <wp:effectExtent l="19050" t="0" r="0" b="0"/>
            <wp:wrapSquare wrapText="bothSides"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69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CC198E" w:rsidRPr="00CC198E" w:rsidRDefault="00CC198E" w:rsidP="00CC198E">
      <w:pPr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D57DEB">
      <w:pPr>
        <w:pStyle w:val="Ttulo2"/>
      </w:pPr>
    </w:p>
    <w:p w:rsidR="00CC198E" w:rsidRPr="00FD7944" w:rsidRDefault="00CC198E" w:rsidP="00D57DEB">
      <w:pPr>
        <w:pStyle w:val="Ttulo2"/>
      </w:pPr>
      <w:bookmarkStart w:id="7" w:name="_Toc280108785"/>
      <w:r w:rsidRPr="00FD7944">
        <w:t>Análise do ano de 2009</w:t>
      </w:r>
      <w:bookmarkEnd w:id="7"/>
    </w:p>
    <w:p w:rsidR="00555280" w:rsidRDefault="00555280" w:rsidP="0055528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198E" w:rsidRDefault="00CC198E" w:rsidP="0055528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5280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555280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555280">
        <w:rPr>
          <w:rFonts w:ascii="Times New Roman" w:hAnsi="Times New Roman" w:cs="Times New Roman"/>
          <w:sz w:val="24"/>
          <w:szCs w:val="24"/>
        </w:rPr>
        <w:t xml:space="preserve"> o ano de 2009 ficou marcado pela reestruturação extensiva a todo o Grupo, passando pelo</w:t>
      </w:r>
      <w:r w:rsidR="00555280">
        <w:rPr>
          <w:rFonts w:ascii="Times New Roman" w:hAnsi="Times New Roman" w:cs="Times New Roman"/>
          <w:sz w:val="24"/>
          <w:szCs w:val="24"/>
        </w:rPr>
        <w:t xml:space="preserve"> </w:t>
      </w:r>
      <w:r w:rsidRPr="00555280">
        <w:rPr>
          <w:rFonts w:ascii="Times New Roman" w:hAnsi="Times New Roman" w:cs="Times New Roman"/>
          <w:sz w:val="24"/>
          <w:szCs w:val="24"/>
        </w:rPr>
        <w:t>reajustamento da estrutura às exigências, dando lugar à preocupação permanente de atendermos às</w:t>
      </w:r>
      <w:r w:rsidR="00555280">
        <w:rPr>
          <w:rFonts w:ascii="Times New Roman" w:hAnsi="Times New Roman" w:cs="Times New Roman"/>
          <w:sz w:val="24"/>
          <w:szCs w:val="24"/>
        </w:rPr>
        <w:t xml:space="preserve"> </w:t>
      </w:r>
      <w:r w:rsidRPr="00555280">
        <w:rPr>
          <w:rFonts w:ascii="Times New Roman" w:hAnsi="Times New Roman" w:cs="Times New Roman"/>
          <w:sz w:val="24"/>
          <w:szCs w:val="24"/>
        </w:rPr>
        <w:t>necessidades do mercado através de equipas móveis, minimizando custos fixos de presença geográfica</w:t>
      </w:r>
      <w:r w:rsidR="00555280">
        <w:rPr>
          <w:rFonts w:ascii="Times New Roman" w:hAnsi="Times New Roman" w:cs="Times New Roman"/>
          <w:sz w:val="24"/>
          <w:szCs w:val="24"/>
        </w:rPr>
        <w:t xml:space="preserve"> </w:t>
      </w:r>
      <w:r w:rsidRPr="00555280">
        <w:rPr>
          <w:rFonts w:ascii="Times New Roman" w:hAnsi="Times New Roman" w:cs="Times New Roman"/>
          <w:sz w:val="24"/>
          <w:szCs w:val="24"/>
        </w:rPr>
        <w:t>permanente, com capacidade de resposta às solicitações.</w:t>
      </w:r>
    </w:p>
    <w:p w:rsidR="00555280" w:rsidRDefault="00555280" w:rsidP="0055528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555280">
        <w:rPr>
          <w:rFonts w:ascii="Times New Roman" w:hAnsi="Times New Roman" w:cs="Times New Roman"/>
          <w:sz w:val="24"/>
          <w:szCs w:val="24"/>
        </w:rPr>
        <w:t xml:space="preserve"> caminho percorrido, com todos os custos materiais e humanos, valeu a pena, sendo a prova provada o termos atingido em 2009, apesar da envolvente macro, um volume de negócios superior em 35% ao registado no ano anterior, muito embora com o sacrifício de aproximadamente 5,5% da margem na área do negócio «venda de equipamento», área esta onde o volume de negócios progrediu, entre esses dois anos, na ordem dos 42%.</w:t>
      </w:r>
    </w:p>
    <w:p w:rsidR="00555280" w:rsidRDefault="00555280" w:rsidP="0055528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5280">
        <w:rPr>
          <w:rFonts w:ascii="Times New Roman" w:hAnsi="Times New Roman" w:cs="Times New Roman"/>
          <w:sz w:val="24"/>
          <w:szCs w:val="24"/>
        </w:rPr>
        <w:t xml:space="preserve">No que diz respeito à sua actuação a </w:t>
      </w:r>
      <w:proofErr w:type="spellStart"/>
      <w:r w:rsidRPr="00555280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555280">
        <w:rPr>
          <w:rFonts w:ascii="Times New Roman" w:hAnsi="Times New Roman" w:cs="Times New Roman"/>
          <w:sz w:val="24"/>
          <w:szCs w:val="24"/>
        </w:rPr>
        <w:t xml:space="preserve"> concentrou a actividade em torno das suas 3 principais áreas/práticas:</w:t>
      </w:r>
    </w:p>
    <w:p w:rsidR="00555280" w:rsidRDefault="00555280" w:rsidP="00555280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280">
        <w:rPr>
          <w:rFonts w:ascii="Times New Roman" w:hAnsi="Times New Roman" w:cs="Times New Roman"/>
          <w:sz w:val="24"/>
          <w:szCs w:val="24"/>
        </w:rPr>
        <w:t>Comunicações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55280" w:rsidRDefault="00555280" w:rsidP="00555280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280">
        <w:rPr>
          <w:rFonts w:ascii="Times New Roman" w:hAnsi="Times New Roman" w:cs="Times New Roman"/>
          <w:sz w:val="24"/>
          <w:szCs w:val="24"/>
        </w:rPr>
        <w:t>Infra-Estruturas e Segurança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55280" w:rsidRDefault="00555280" w:rsidP="00555280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280">
        <w:rPr>
          <w:rFonts w:ascii="Times New Roman" w:hAnsi="Times New Roman" w:cs="Times New Roman"/>
          <w:sz w:val="24"/>
          <w:szCs w:val="24"/>
        </w:rPr>
        <w:t>Aplicações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5280" w:rsidRDefault="00555280" w:rsidP="0055528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5280">
        <w:rPr>
          <w:rFonts w:ascii="Times New Roman" w:hAnsi="Times New Roman" w:cs="Times New Roman"/>
          <w:sz w:val="24"/>
          <w:szCs w:val="24"/>
        </w:rPr>
        <w:lastRenderedPageBreak/>
        <w:t>A empresa conseguiu conquistar posições em grandes projectos na área das Comunicações, Infra-Estruturas e Segurança e na área Aplicacional, tendo tido a inteligência, inovação e a capacidade de pensar de forma integrada nas necessidades apresentadas pelo mercado e preparado as sua</w:t>
      </w:r>
      <w:r w:rsidR="0098639E">
        <w:rPr>
          <w:rFonts w:ascii="Times New Roman" w:hAnsi="Times New Roman" w:cs="Times New Roman"/>
          <w:sz w:val="24"/>
          <w:szCs w:val="24"/>
        </w:rPr>
        <w:t>s</w:t>
      </w:r>
      <w:r w:rsidRPr="00555280">
        <w:rPr>
          <w:rFonts w:ascii="Times New Roman" w:hAnsi="Times New Roman" w:cs="Times New Roman"/>
          <w:sz w:val="24"/>
          <w:szCs w:val="24"/>
        </w:rPr>
        <w:t xml:space="preserve"> respostas, privilegiando </w:t>
      </w:r>
      <w:r w:rsidR="0098639E">
        <w:rPr>
          <w:rFonts w:ascii="Times New Roman" w:hAnsi="Times New Roman" w:cs="Times New Roman"/>
          <w:sz w:val="24"/>
          <w:szCs w:val="24"/>
        </w:rPr>
        <w:t>uma boa relação custo/benefício.</w:t>
      </w:r>
    </w:p>
    <w:p w:rsidR="00555280" w:rsidRDefault="0098639E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39E">
        <w:rPr>
          <w:rFonts w:ascii="Times New Roman" w:hAnsi="Times New Roman" w:cs="Times New Roman"/>
          <w:sz w:val="24"/>
          <w:szCs w:val="24"/>
        </w:rPr>
        <w:t xml:space="preserve">Finalmente sublinha-se que neste exercício entrou em execução o SOC (Sistema Operacional </w:t>
      </w:r>
      <w:proofErr w:type="spellStart"/>
      <w:r w:rsidRPr="0098639E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98639E">
        <w:rPr>
          <w:rFonts w:ascii="Times New Roman" w:hAnsi="Times New Roman" w:cs="Times New Roman"/>
          <w:sz w:val="24"/>
          <w:szCs w:val="24"/>
        </w:rPr>
        <w:t>), sistema desenvolvido internamente e, portanto, perfeitamente adaptado às necessidades da empresa e do qual se estão já a obter excelentes resultados.</w:t>
      </w: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2A2E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3198" w:rsidRPr="006C3198" w:rsidRDefault="00B85C3A" w:rsidP="000023F9">
      <w:pPr>
        <w:pStyle w:val="Ttulo1"/>
      </w:pPr>
      <w:bookmarkStart w:id="8" w:name="_Toc280108786"/>
      <w:r>
        <w:lastRenderedPageBreak/>
        <w:t>1</w:t>
      </w:r>
      <w:r w:rsidR="000023F9">
        <w:t>-</w:t>
      </w:r>
      <w:r w:rsidR="002A416A" w:rsidRPr="00FD7944">
        <w:t>Análise Económica</w:t>
      </w:r>
      <w:bookmarkEnd w:id="8"/>
      <w:r w:rsidR="002A416A" w:rsidRPr="00FD7944">
        <w:t xml:space="preserve"> </w:t>
      </w:r>
    </w:p>
    <w:p w:rsidR="009B5DD4" w:rsidRDefault="009B5DD4" w:rsidP="009B5DD4"/>
    <w:p w:rsidR="009B5DD4" w:rsidRPr="002A2EEE" w:rsidRDefault="00B85C3A" w:rsidP="00D57DEB">
      <w:pPr>
        <w:pStyle w:val="Ttulo2"/>
      </w:pPr>
      <w:bookmarkStart w:id="9" w:name="_Toc280108787"/>
      <w:r>
        <w:t>1</w:t>
      </w:r>
      <w:r w:rsidR="000023F9">
        <w:t>.1-</w:t>
      </w:r>
      <w:r w:rsidR="009B5DD4" w:rsidRPr="002A2EEE">
        <w:t>Proveitos</w:t>
      </w:r>
      <w:bookmarkEnd w:id="9"/>
    </w:p>
    <w:p w:rsidR="009B5DD4" w:rsidRPr="002A2EEE" w:rsidRDefault="00B85C3A" w:rsidP="00D57DEB">
      <w:pPr>
        <w:pStyle w:val="Ttulo3"/>
      </w:pPr>
      <w:bookmarkStart w:id="10" w:name="_Toc280108788"/>
      <w:r>
        <w:t>1</w:t>
      </w:r>
      <w:r w:rsidR="000023F9">
        <w:t>.1.1-</w:t>
      </w:r>
      <w:r w:rsidR="009B5DD4" w:rsidRPr="002A2EEE">
        <w:t>Estrutura dos Proveitos</w:t>
      </w:r>
      <w:bookmarkEnd w:id="10"/>
    </w:p>
    <w:p w:rsidR="009B5DD4" w:rsidRPr="002A2EEE" w:rsidRDefault="009B5DD4" w:rsidP="002A2EEE">
      <w:pPr>
        <w:pStyle w:val="xl57"/>
        <w:pBdr>
          <w:right w:val="none" w:sz="0" w:space="0" w:color="auto"/>
        </w:pBdr>
        <w:tabs>
          <w:tab w:val="left" w:pos="7820"/>
        </w:tabs>
        <w:spacing w:before="0" w:beforeAutospacing="0" w:after="0" w:afterAutospacing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A2EEE">
        <w:rPr>
          <w:rFonts w:ascii="Times New Roman" w:eastAsia="Times New Roman" w:hAnsi="Times New Roman" w:cs="Times New Roman"/>
        </w:rPr>
        <w:t xml:space="preserve">Nesta subárea procura-se apreender o crescimento das principais rubricas de proveitos bem como a evolução da respectiva estrutura. </w:t>
      </w:r>
    </w:p>
    <w:p w:rsidR="009B5DD4" w:rsidRPr="0041142F" w:rsidRDefault="009B5DD4" w:rsidP="002A2EEE">
      <w:pPr>
        <w:pStyle w:val="xl57"/>
        <w:pBdr>
          <w:right w:val="none" w:sz="0" w:space="0" w:color="auto"/>
        </w:pBdr>
        <w:tabs>
          <w:tab w:val="left" w:pos="7820"/>
        </w:tabs>
        <w:spacing w:before="0" w:beforeAutospacing="0" w:after="0" w:afterAutospacing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A2EEE">
        <w:rPr>
          <w:rFonts w:ascii="Times New Roman" w:eastAsia="Times New Roman" w:hAnsi="Times New Roman" w:cs="Times New Roman"/>
        </w:rPr>
        <w:t>A principal técnica utilizada para o efeito é a comparação da Demonstração Financeira de períodos sucessivos, a partir dos indicadores seleccionados</w:t>
      </w:r>
      <w:r w:rsidRPr="0041142F">
        <w:rPr>
          <w:rFonts w:ascii="Times New Roman" w:eastAsia="Times New Roman" w:hAnsi="Times New Roman" w:cs="Times New Roman"/>
        </w:rPr>
        <w:t xml:space="preserve">. </w:t>
      </w:r>
    </w:p>
    <w:p w:rsidR="000F10EA" w:rsidRDefault="000F10EA" w:rsidP="008333E3">
      <w:pPr>
        <w:rPr>
          <w:color w:val="7030A0"/>
        </w:rPr>
      </w:pPr>
      <w:r>
        <w:rPr>
          <w:noProof/>
          <w:color w:val="7030A0"/>
          <w:lang w:eastAsia="pt-PT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8890</wp:posOffset>
            </wp:positionV>
            <wp:extent cx="5379720" cy="1685290"/>
            <wp:effectExtent l="19050" t="0" r="0" b="0"/>
            <wp:wrapSquare wrapText="bothSides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720" cy="168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CE5" w:rsidRPr="002A2EEE" w:rsidRDefault="000F10EA" w:rsidP="002A2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EEE">
        <w:rPr>
          <w:rFonts w:ascii="Times New Roman" w:hAnsi="Times New Roman" w:cs="Times New Roman"/>
          <w:sz w:val="24"/>
          <w:szCs w:val="24"/>
        </w:rPr>
        <w:t xml:space="preserve">Verifica-se que </w:t>
      </w:r>
      <w:r w:rsidR="00C05CE5" w:rsidRPr="002A2EEE">
        <w:rPr>
          <w:rFonts w:ascii="Times New Roman" w:hAnsi="Times New Roman" w:cs="Times New Roman"/>
          <w:sz w:val="24"/>
          <w:szCs w:val="24"/>
        </w:rPr>
        <w:t>há</w:t>
      </w:r>
      <w:r w:rsidRPr="002A2EEE">
        <w:rPr>
          <w:rFonts w:ascii="Times New Roman" w:hAnsi="Times New Roman" w:cs="Times New Roman"/>
          <w:sz w:val="24"/>
          <w:szCs w:val="24"/>
        </w:rPr>
        <w:t xml:space="preserve"> um aumento das vendas ao longo dos anos, bem como as Prestações de Serviços</w:t>
      </w:r>
      <w:r w:rsidR="00C05CE5" w:rsidRPr="002A2EEE">
        <w:rPr>
          <w:rFonts w:ascii="Times New Roman" w:hAnsi="Times New Roman" w:cs="Times New Roman"/>
          <w:sz w:val="24"/>
          <w:szCs w:val="24"/>
        </w:rPr>
        <w:t>. Os Proveitos e Ganhos financeiros diminuíram, assim como os Outros Proveitos e Ganhos Operacionais.</w:t>
      </w:r>
    </w:p>
    <w:p w:rsidR="006F21F7" w:rsidRPr="00D57DEB" w:rsidRDefault="00C05CE5" w:rsidP="00D57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EEE">
        <w:rPr>
          <w:rFonts w:ascii="Times New Roman" w:hAnsi="Times New Roman" w:cs="Times New Roman"/>
          <w:sz w:val="24"/>
          <w:szCs w:val="24"/>
        </w:rPr>
        <w:t>No total dos proveitos o valor mais alto é o de 2009 com um valor de 30.817.872,00€</w:t>
      </w:r>
    </w:p>
    <w:p w:rsidR="006F21F7" w:rsidRDefault="006F21F7" w:rsidP="008333E3"/>
    <w:p w:rsidR="00C05CE5" w:rsidRDefault="00EE41BE" w:rsidP="008333E3">
      <w:pPr>
        <w:rPr>
          <w:b/>
          <w:color w:val="7030A0"/>
        </w:rPr>
      </w:pPr>
      <w:r>
        <w:rPr>
          <w:b/>
          <w:noProof/>
          <w:color w:val="7030A0"/>
          <w:lang w:eastAsia="pt-PT"/>
        </w:rPr>
        <w:drawing>
          <wp:inline distT="0" distB="0" distL="0" distR="0">
            <wp:extent cx="5136515" cy="1717675"/>
            <wp:effectExtent l="19050" t="0" r="6985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15" cy="17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CE5" w:rsidRPr="002A2EEE" w:rsidRDefault="006C3198" w:rsidP="002A2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EEE">
        <w:rPr>
          <w:rFonts w:ascii="Times New Roman" w:hAnsi="Times New Roman" w:cs="Times New Roman"/>
          <w:sz w:val="24"/>
          <w:szCs w:val="24"/>
        </w:rPr>
        <w:t>Tal como na tabela anterior podemos observar que as vendas e as prestações de serviços tem um aumento significativo, bem como a produção.</w:t>
      </w:r>
    </w:p>
    <w:p w:rsidR="00C05CE5" w:rsidRPr="006C3198" w:rsidRDefault="006C3198" w:rsidP="002A2EEE">
      <w:pPr>
        <w:spacing w:after="0" w:line="360" w:lineRule="auto"/>
        <w:ind w:firstLine="709"/>
        <w:jc w:val="both"/>
      </w:pPr>
      <w:r w:rsidRPr="002A2EEE">
        <w:rPr>
          <w:rFonts w:ascii="Times New Roman" w:hAnsi="Times New Roman" w:cs="Times New Roman"/>
          <w:sz w:val="24"/>
          <w:szCs w:val="24"/>
        </w:rPr>
        <w:t>Verifica-se também que a produção depende essencialmente do valor das vendas, ou seja, quanto maior for o montante das vendas, maior será a produção.</w:t>
      </w:r>
    </w:p>
    <w:p w:rsidR="00C05CE5" w:rsidRPr="002A2EEE" w:rsidRDefault="00B85C3A" w:rsidP="00D57DEB">
      <w:pPr>
        <w:pStyle w:val="Ttulo2"/>
      </w:pPr>
      <w:bookmarkStart w:id="11" w:name="_Toc280108789"/>
      <w:r>
        <w:lastRenderedPageBreak/>
        <w:t>1</w:t>
      </w:r>
      <w:r w:rsidR="000023F9">
        <w:t>.2-</w:t>
      </w:r>
      <w:r w:rsidR="00C05CE5" w:rsidRPr="002A2EEE">
        <w:t>Custos</w:t>
      </w:r>
      <w:bookmarkEnd w:id="11"/>
    </w:p>
    <w:p w:rsidR="00C05CE5" w:rsidRPr="002A2EEE" w:rsidRDefault="00B85C3A" w:rsidP="00D57DEB">
      <w:pPr>
        <w:pStyle w:val="Ttulo3"/>
      </w:pPr>
      <w:bookmarkStart w:id="12" w:name="_Toc280108790"/>
      <w:r>
        <w:t>1</w:t>
      </w:r>
      <w:r w:rsidR="000023F9">
        <w:t>.2.1-</w:t>
      </w:r>
      <w:r w:rsidR="00C05CE5" w:rsidRPr="002A2EEE">
        <w:t>Estrutura de Custos</w:t>
      </w:r>
      <w:bookmarkEnd w:id="12"/>
    </w:p>
    <w:p w:rsidR="006F21F7" w:rsidRPr="006F21F7" w:rsidRDefault="00C05CE5" w:rsidP="006F21F7">
      <w:pPr>
        <w:rPr>
          <w:b/>
          <w:color w:val="7030A0"/>
        </w:rPr>
      </w:pPr>
      <w:r>
        <w:rPr>
          <w:b/>
          <w:noProof/>
          <w:color w:val="7030A0"/>
          <w:lang w:eastAsia="pt-PT"/>
        </w:rPr>
        <w:drawing>
          <wp:inline distT="0" distB="0" distL="0" distR="0">
            <wp:extent cx="5398770" cy="1447165"/>
            <wp:effectExtent l="19050" t="0" r="0" b="0"/>
            <wp:docPr id="1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144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CE5" w:rsidRPr="002A2EEE" w:rsidRDefault="006F21F7" w:rsidP="002A2EE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A2EEE">
        <w:rPr>
          <w:rFonts w:ascii="Times New Roman" w:hAnsi="Times New Roman" w:cs="Times New Roman"/>
          <w:sz w:val="24"/>
          <w:szCs w:val="24"/>
        </w:rPr>
        <w:t>Verificou-se um aumento com os custos com o pessoal</w:t>
      </w:r>
      <w:r w:rsidR="006C3198" w:rsidRPr="002A2EEE">
        <w:rPr>
          <w:rFonts w:ascii="Times New Roman" w:hAnsi="Times New Roman" w:cs="Times New Roman"/>
          <w:sz w:val="24"/>
          <w:szCs w:val="24"/>
        </w:rPr>
        <w:t>, bem como o CMVMC.</w:t>
      </w:r>
    </w:p>
    <w:p w:rsidR="006C3198" w:rsidRPr="00C05CE5" w:rsidRDefault="00EE41BE" w:rsidP="00EE41BE">
      <w:pPr>
        <w:jc w:val="center"/>
        <w:rPr>
          <w:b/>
          <w:color w:val="7030A0"/>
        </w:rPr>
      </w:pPr>
      <w:r>
        <w:rPr>
          <w:b/>
          <w:noProof/>
          <w:color w:val="7030A0"/>
          <w:lang w:eastAsia="pt-PT"/>
        </w:rPr>
        <w:drawing>
          <wp:inline distT="0" distB="0" distL="0" distR="0">
            <wp:extent cx="4815343" cy="1842697"/>
            <wp:effectExtent l="19050" t="0" r="4307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234" cy="1843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1BE" w:rsidRPr="00A56EAC" w:rsidRDefault="00EE41BE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Através da análise deste quadro, verifica-se que os custos mais significativos para a empresa </w:t>
      </w:r>
      <w:r w:rsidRPr="00A56EAC">
        <w:rPr>
          <w:rFonts w:ascii="Times New Roman" w:hAnsi="Times New Roman" w:cs="Times New Roman"/>
          <w:iCs/>
          <w:sz w:val="24"/>
          <w:szCs w:val="24"/>
        </w:rPr>
        <w:t xml:space="preserve">são os custos com o pessoal. </w:t>
      </w:r>
      <w:r w:rsidRPr="00A56EAC">
        <w:rPr>
          <w:rFonts w:ascii="Times New Roman" w:hAnsi="Times New Roman" w:cs="Times New Roman"/>
          <w:sz w:val="24"/>
          <w:szCs w:val="24"/>
        </w:rPr>
        <w:t>No ano de 2008 o valor do custo mais relevante é o dos Custos das Mercadorias Vendidas e das Matérias Consumidas, apresentando um aumento significativo em relação aos dois anos anteriores.</w:t>
      </w:r>
    </w:p>
    <w:p w:rsidR="00EE41BE" w:rsidRPr="00A56EAC" w:rsidRDefault="00EE41BE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Verifica-se ainda que as amortizações do exercício registaram uma diminuição em comparação dos anos anteriores, indica que a empresa diminui o investimento em Activos Fixos.</w:t>
      </w:r>
    </w:p>
    <w:p w:rsidR="00EE41BE" w:rsidRPr="00EE41BE" w:rsidRDefault="00EE41BE" w:rsidP="00EE41BE">
      <w:pPr>
        <w:spacing w:line="360" w:lineRule="auto"/>
        <w:ind w:firstLine="709"/>
        <w:jc w:val="both"/>
      </w:pPr>
    </w:p>
    <w:p w:rsidR="008333E3" w:rsidRPr="000023F9" w:rsidRDefault="00B85C3A" w:rsidP="00D57DEB">
      <w:pPr>
        <w:pStyle w:val="Ttulo2"/>
      </w:pPr>
      <w:bookmarkStart w:id="13" w:name="_Toc280108791"/>
      <w:r>
        <w:t>1</w:t>
      </w:r>
      <w:r w:rsidR="000023F9" w:rsidRPr="000023F9">
        <w:t>.3-</w:t>
      </w:r>
      <w:r w:rsidR="008333E3" w:rsidRPr="000023F9">
        <w:t>Indicadores de Actividade e Produtividade</w:t>
      </w:r>
      <w:bookmarkEnd w:id="13"/>
    </w:p>
    <w:p w:rsidR="008333E3" w:rsidRPr="00A56EAC" w:rsidRDefault="008333E3" w:rsidP="00A56EAC">
      <w:pPr>
        <w:pStyle w:val="PargrafodaLista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33E3" w:rsidRPr="00A56EAC" w:rsidRDefault="008333E3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objectivo nesta parte é aprender o nível de eficiência com que a empresa está a gerir </w:t>
      </w:r>
      <w:r w:rsidR="000D74CD"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 </w:t>
      </w: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base </w:t>
      </w:r>
      <w:r w:rsidR="000D74CD"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>os rácios. Nestes predominam os designados rácios de actividade (expressos em dias de funcionamento) aos quais se juntam alguns outros rácios relativos á produtividade (que são igualmente, ainda de modo indirecto indicadores de eficiência na utilização dos recursos por parte da empresa).</w:t>
      </w:r>
    </w:p>
    <w:p w:rsidR="00A56EAC" w:rsidRDefault="000D74CD" w:rsidP="0094439B">
      <w:pPr>
        <w:pStyle w:val="PargrafodaLista"/>
        <w:spacing w:line="360" w:lineRule="auto"/>
        <w:ind w:left="1224"/>
        <w:jc w:val="both"/>
        <w:rPr>
          <w:b/>
          <w:color w:val="7030A0"/>
        </w:rPr>
      </w:pPr>
      <w:r w:rsidRPr="00FD7944">
        <w:rPr>
          <w:b/>
          <w:color w:val="7030A0"/>
        </w:rPr>
        <w:t xml:space="preserve"> </w:t>
      </w:r>
    </w:p>
    <w:p w:rsidR="000D74CD" w:rsidRPr="000023F9" w:rsidRDefault="00B85C3A" w:rsidP="00D57DEB">
      <w:pPr>
        <w:pStyle w:val="Ttulo3"/>
      </w:pPr>
      <w:bookmarkStart w:id="14" w:name="_Toc280108792"/>
      <w:r>
        <w:lastRenderedPageBreak/>
        <w:t>1</w:t>
      </w:r>
      <w:r w:rsidR="000023F9" w:rsidRPr="000023F9">
        <w:t>.3.1-</w:t>
      </w:r>
      <w:r w:rsidR="000D74CD" w:rsidRPr="000023F9">
        <w:t>Prazo médio de Pagamento (PMP)</w:t>
      </w:r>
      <w:bookmarkEnd w:id="14"/>
    </w:p>
    <w:p w:rsidR="000D74CD" w:rsidRPr="00EE4E19" w:rsidRDefault="000D74CD" w:rsidP="00D57DEB">
      <w:pPr>
        <w:pStyle w:val="Ttulo3"/>
        <w:rPr>
          <w:color w:val="000000" w:themeColor="text1"/>
        </w:rPr>
      </w:pPr>
    </w:p>
    <w:p w:rsidR="000D74CD" w:rsidRPr="00EE4E19" w:rsidRDefault="000D74CD" w:rsidP="000D74CD">
      <w:pPr>
        <w:pStyle w:val="PargrafodaLista"/>
        <w:spacing w:line="360" w:lineRule="auto"/>
        <w:ind w:left="1224"/>
        <w:jc w:val="both"/>
        <w:rPr>
          <w:color w:val="000000" w:themeColor="text1"/>
        </w:rPr>
      </w:pPr>
      <m:oMathPara>
        <m:oMathParaPr>
          <m:jc m:val="center"/>
        </m:oMathParaPr>
        <m:oMath>
          <m:r>
            <w:rPr>
              <w:rFonts w:ascii="Cambria Math" w:eastAsia="Times New Roman" w:hAnsi="Cambria Math"/>
              <w:color w:val="000000" w:themeColor="text1"/>
              <w:lang w:val="en-US"/>
            </w:rPr>
            <m:t>PMP</m:t>
          </m:r>
          <m:r>
            <w:rPr>
              <w:rFonts w:ascii="Cambria Math" w:eastAsia="Times New Roman"/>
              <w:color w:val="000000" w:themeColor="text1"/>
              <w:lang w:val="en-US"/>
            </w:rPr>
            <m:t xml:space="preserve">= </m:t>
          </m:r>
          <m:f>
            <m:fPr>
              <m:ctrlPr>
                <w:rPr>
                  <w:rFonts w:ascii="Cambria Math" w:eastAsia="Calibri" w:hAnsi="Cambria Math"/>
                  <w:color w:val="000000" w:themeColor="text1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  <w:color w:val="000000" w:themeColor="text1"/>
                  <w:lang w:val="en-US"/>
                </w:rPr>
                <m:t>fornecedores</m:t>
              </m:r>
            </m:num>
            <m:den>
              <m:d>
                <m:dP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lang w:val="en-US"/>
                    </w:rPr>
                    <m:t>compras+FSE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/>
                      <w:color w:val="000000" w:themeColor="text1"/>
                      <w:lang w:val="en-US"/>
                    </w:rPr>
                    <m:t>1+tx IVA</m:t>
                  </m:r>
                </m:e>
              </m:d>
            </m:den>
          </m:f>
          <m:r>
            <m:rPr>
              <m:sty m:val="p"/>
            </m:rPr>
            <w:rPr>
              <w:rFonts w:hAnsi="Cambria Math"/>
              <w:color w:val="000000" w:themeColor="text1"/>
              <w:lang w:val="en-US"/>
            </w:rPr>
            <m:t>*</m:t>
          </m:r>
          <m:r>
            <m:rPr>
              <m:sty m:val="p"/>
            </m:rPr>
            <w:rPr>
              <w:rFonts w:ascii="Cambria Math"/>
              <w:color w:val="000000" w:themeColor="text1"/>
              <w:lang w:val="en-US"/>
            </w:rPr>
            <m:t>360</m:t>
          </m:r>
        </m:oMath>
      </m:oMathPara>
    </w:p>
    <w:p w:rsidR="000D74CD" w:rsidRPr="00EE4E19" w:rsidRDefault="000D74CD" w:rsidP="00A56EAC">
      <w:pPr>
        <w:spacing w:after="0" w:line="360" w:lineRule="auto"/>
        <w:ind w:firstLine="709"/>
        <w:jc w:val="both"/>
        <w:rPr>
          <w:color w:val="000000" w:themeColor="text1"/>
          <w:sz w:val="24"/>
          <w:szCs w:val="24"/>
        </w:rPr>
      </w:pP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>Este rácio deve incluir no seu cálculo o saldo médio de Fornecedores c/c, Fornecedores Títulos a Pagar, Fornecedores facturas em recepção, Adiantamentos a fornecedores, compras e fornecimentos externos</w:t>
      </w:r>
      <w:r w:rsidRPr="00EE4E19">
        <w:rPr>
          <w:color w:val="000000" w:themeColor="text1"/>
          <w:sz w:val="24"/>
          <w:szCs w:val="24"/>
        </w:rPr>
        <w:t>.</w:t>
      </w:r>
    </w:p>
    <w:tbl>
      <w:tblPr>
        <w:tblW w:w="8420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20"/>
        <w:gridCol w:w="1720"/>
        <w:gridCol w:w="1720"/>
        <w:gridCol w:w="1720"/>
        <w:gridCol w:w="1540"/>
      </w:tblGrid>
      <w:tr w:rsidR="00FD487B" w:rsidRPr="000D74CD" w:rsidTr="00FD487B">
        <w:trPr>
          <w:trHeight w:val="315"/>
          <w:jc w:val="center"/>
        </w:trPr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487B" w:rsidRPr="00FD487B" w:rsidRDefault="00FD487B" w:rsidP="00FD48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D487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487B" w:rsidRPr="000D74CD" w:rsidRDefault="00FD487B" w:rsidP="000D74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74C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487B" w:rsidRPr="000D74CD" w:rsidRDefault="00FD487B" w:rsidP="000D74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74C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487B" w:rsidRPr="000D74CD" w:rsidRDefault="00FD487B" w:rsidP="000D74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74C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487B" w:rsidRPr="000D74CD" w:rsidRDefault="00FD487B" w:rsidP="000D74C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74C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A33B6B" w:rsidRPr="000D74CD" w:rsidTr="00FD487B">
        <w:trPr>
          <w:trHeight w:val="64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B6B" w:rsidRPr="00FD487B" w:rsidRDefault="00A33B6B" w:rsidP="000D74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D487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PMP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B6B" w:rsidRDefault="00A33B6B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386,77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B6B" w:rsidRDefault="00A33B6B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261,16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B6B" w:rsidRDefault="00A33B6B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752,50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B6B" w:rsidRDefault="00A33B6B" w:rsidP="00A33B6B">
            <w:pPr>
              <w:keepNext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290,32</w:t>
            </w:r>
          </w:p>
        </w:tc>
      </w:tr>
    </w:tbl>
    <w:p w:rsidR="000D74CD" w:rsidRPr="00DF5FA2" w:rsidRDefault="00A33B6B" w:rsidP="00A33B6B">
      <w:pPr>
        <w:pStyle w:val="Legenda"/>
        <w:jc w:val="right"/>
        <w:rPr>
          <w:color w:val="7030A0"/>
          <w:sz w:val="24"/>
          <w:szCs w:val="24"/>
        </w:rPr>
      </w:pPr>
      <w:r w:rsidRPr="00DF5FA2">
        <w:rPr>
          <w:color w:val="7030A0"/>
        </w:rPr>
        <w:t xml:space="preserve">(em dias) </w:t>
      </w:r>
    </w:p>
    <w:p w:rsidR="00EE4E19" w:rsidRDefault="00A33B6B" w:rsidP="00A56EAC">
      <w:pPr>
        <w:spacing w:after="0" w:line="360" w:lineRule="auto"/>
        <w:ind w:firstLine="709"/>
        <w:jc w:val="both"/>
        <w:rPr>
          <w:color w:val="000000" w:themeColor="text1"/>
        </w:rPr>
      </w:pP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Verificamos que a </w:t>
      </w:r>
      <w:proofErr w:type="spellStart"/>
      <w:r w:rsidR="00980A36"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>Compta</w:t>
      </w:r>
      <w:proofErr w:type="spellEnd"/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tem um prazo de pagamento longo, ou seja,</w:t>
      </w:r>
      <w:r w:rsidR="00EE4E19"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2006 para 2007 houve um aumento significativo,</w:t>
      </w: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 2007 o prazo médio de pagamento foi de 753 dias, tendo diminuído consecutivamente</w:t>
      </w:r>
      <w:r w:rsidR="00EE4E19"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nos dois anos seguintes estando em 2009 com 387dias</w:t>
      </w:r>
      <w:r w:rsidR="00EE4E19" w:rsidRPr="00EE4E19">
        <w:rPr>
          <w:color w:val="000000" w:themeColor="text1"/>
        </w:rPr>
        <w:t>.</w:t>
      </w:r>
    </w:p>
    <w:p w:rsidR="00A56EAC" w:rsidRPr="00EE4E19" w:rsidRDefault="00A56EAC" w:rsidP="00D57DEB">
      <w:pPr>
        <w:spacing w:after="0" w:line="360" w:lineRule="auto"/>
        <w:jc w:val="both"/>
        <w:rPr>
          <w:color w:val="000000" w:themeColor="text1"/>
        </w:rPr>
      </w:pPr>
    </w:p>
    <w:p w:rsidR="00EE4E19" w:rsidRPr="00A56EAC" w:rsidRDefault="00EE4E19" w:rsidP="00D57DEB">
      <w:pPr>
        <w:pStyle w:val="Ttulo3"/>
      </w:pPr>
      <w:r w:rsidRPr="00B85C3A">
        <w:t xml:space="preserve"> </w:t>
      </w:r>
      <w:bookmarkStart w:id="15" w:name="_Toc280108793"/>
      <w:r w:rsidR="00B85C3A" w:rsidRPr="00B85C3A">
        <w:t>1</w:t>
      </w:r>
      <w:r w:rsidR="000023F9" w:rsidRPr="00B85C3A">
        <w:t>.3.2</w:t>
      </w:r>
      <w:r w:rsidRPr="0094439B">
        <w:t xml:space="preserve"> </w:t>
      </w:r>
      <w:r w:rsidRPr="00A56EAC">
        <w:t>Prazo Médio de Recebimento</w:t>
      </w:r>
      <w:bookmarkEnd w:id="15"/>
    </w:p>
    <w:p w:rsidR="00EE4E19" w:rsidRDefault="00EE4E19" w:rsidP="00EE4E19">
      <w:pPr>
        <w:pStyle w:val="PargrafodaLista"/>
        <w:spacing w:line="360" w:lineRule="auto"/>
        <w:ind w:left="1224"/>
        <w:rPr>
          <w:color w:val="000000" w:themeColor="text1"/>
        </w:rPr>
      </w:pPr>
    </w:p>
    <w:p w:rsidR="00EE4E19" w:rsidRPr="00EE4E19" w:rsidRDefault="00EE4E19" w:rsidP="00EE4E19">
      <w:pPr>
        <w:pStyle w:val="PargrafodaLista"/>
        <w:spacing w:line="360" w:lineRule="auto"/>
        <w:ind w:left="1224"/>
        <w:rPr>
          <w:color w:val="000000" w:themeColor="text1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</w:rPr>
            <m:t>PMR</m:t>
          </m:r>
          <m:r>
            <m:rPr>
              <m:sty m:val="p"/>
            </m:rP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Clientes</m:t>
              </m:r>
            </m:num>
            <m:den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vendas</m:t>
                  </m:r>
                  <m:r>
                    <m:rPr>
                      <m:sty m:val="p"/>
                    </m:rPr>
                    <w:rPr>
                      <w:rFonts w:ascii="Cambria Math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PS</m:t>
                  </m:r>
                </m:e>
              </m:d>
              <m:r>
                <m:rPr>
                  <m:sty m:val="p"/>
                </m:rPr>
                <w:rPr>
                  <w:rFonts w:ascii="Cambria Math"/>
                </w:rPr>
                <m:t>(1+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IVA</m:t>
              </m:r>
              <m:r>
                <m:rPr>
                  <m:sty m:val="p"/>
                </m:rPr>
                <w:rPr>
                  <w:rFonts w:ascii="Cambria Math"/>
                </w:rPr>
                <m:t>)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*</m:t>
          </m:r>
          <m:r>
            <m:rPr>
              <m:sty m:val="p"/>
            </m:rPr>
            <w:rPr>
              <w:rFonts w:ascii="Cambria Math"/>
            </w:rPr>
            <m:t>360</m:t>
          </m:r>
        </m:oMath>
      </m:oMathPara>
    </w:p>
    <w:p w:rsidR="008333E3" w:rsidRPr="00EE4E19" w:rsidRDefault="008333E3" w:rsidP="008333E3">
      <w:pPr>
        <w:pStyle w:val="PargrafodaLista"/>
        <w:rPr>
          <w:color w:val="000000" w:themeColor="text1"/>
        </w:rPr>
      </w:pPr>
    </w:p>
    <w:p w:rsidR="00EE4E19" w:rsidRPr="00A56EAC" w:rsidRDefault="00EE4E19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Este rácio mede o tempo médio, em dias, com que os clientes costumam pagar as suas dívidas, o qual inclui os Clientes C/c, Clientes Títulos a Receber e os Clientes de Cobrança Duvidosa, Adiantamento de Clientes, as Vendas e Prestação de Serviços.</w:t>
      </w:r>
    </w:p>
    <w:tbl>
      <w:tblPr>
        <w:tblW w:w="8420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20"/>
        <w:gridCol w:w="1720"/>
        <w:gridCol w:w="1720"/>
        <w:gridCol w:w="1720"/>
        <w:gridCol w:w="1540"/>
      </w:tblGrid>
      <w:tr w:rsidR="00EE4E19" w:rsidRPr="00EE4E19" w:rsidTr="00EE4E19">
        <w:trPr>
          <w:trHeight w:val="315"/>
          <w:jc w:val="center"/>
        </w:trPr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4E19" w:rsidRPr="00EE4E19" w:rsidRDefault="00EE4E19" w:rsidP="00EE4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E19" w:rsidRPr="00EE4E19" w:rsidRDefault="00EE4E19" w:rsidP="00EE4E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E19" w:rsidRPr="00EE4E19" w:rsidRDefault="00EE4E19" w:rsidP="00EE4E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E19" w:rsidRPr="00EE4E19" w:rsidRDefault="00EE4E19" w:rsidP="00EE4E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4E19" w:rsidRPr="00EE4E19" w:rsidRDefault="00EE4E19" w:rsidP="00EE4E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EE4E19" w:rsidRPr="00EE4E19" w:rsidTr="00EE4E19">
        <w:trPr>
          <w:trHeight w:val="64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19" w:rsidRPr="00EE4E19" w:rsidRDefault="00EE4E19" w:rsidP="00EE4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PMR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19" w:rsidRPr="00EE4E19" w:rsidRDefault="00EE4E19" w:rsidP="00EE4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100,24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19" w:rsidRPr="00EE4E19" w:rsidRDefault="00EE4E19" w:rsidP="00EE4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61,96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19" w:rsidRPr="00EE4E19" w:rsidRDefault="00EE4E19" w:rsidP="00EE4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87,91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19" w:rsidRPr="00EE4E19" w:rsidRDefault="00EE4E19" w:rsidP="00EE4E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E4E19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121,04</w:t>
            </w:r>
          </w:p>
        </w:tc>
      </w:tr>
    </w:tbl>
    <w:p w:rsidR="00EE4E19" w:rsidRPr="0041142F" w:rsidRDefault="00EE4E19" w:rsidP="00EE4E19">
      <w:pPr>
        <w:spacing w:line="360" w:lineRule="auto"/>
        <w:ind w:firstLine="709"/>
        <w:jc w:val="both"/>
      </w:pPr>
    </w:p>
    <w:p w:rsidR="00C00568" w:rsidRDefault="00980A36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>Neste Rácio podemos observar que os nossos clientes demoram um tempo significativo a pagar as suas dívida</w:t>
      </w:r>
      <w:r w:rsidR="005362A8"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>s, estas</w:t>
      </w:r>
      <w:r w:rsidR="00ED2A00" w:rsidRPr="00A56EAC">
        <w:rPr>
          <w:rFonts w:ascii="Times New Roman" w:hAnsi="Times New Roman" w:cs="Times New Roman"/>
          <w:sz w:val="24"/>
          <w:szCs w:val="24"/>
        </w:rPr>
        <w:t xml:space="preserve"> têm vindo a diminuir, registando o valor mais elevado no ano de 2006</w:t>
      </w:r>
      <w:r w:rsidR="005362A8" w:rsidRPr="00A56EAC">
        <w:rPr>
          <w:rFonts w:ascii="Times New Roman" w:hAnsi="Times New Roman" w:cs="Times New Roman"/>
          <w:sz w:val="24"/>
          <w:szCs w:val="24"/>
        </w:rPr>
        <w:t>.</w:t>
      </w:r>
    </w:p>
    <w:p w:rsidR="00D57DEB" w:rsidRDefault="00D57DEB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Default="00D57DEB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DEB" w:rsidRPr="00A56EAC" w:rsidRDefault="00D57DEB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62A8" w:rsidRPr="00A56EAC" w:rsidRDefault="005362A8" w:rsidP="005362A8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color w:val="000000" w:themeColor="text1"/>
        </w:rPr>
      </w:pPr>
      <w:r w:rsidRPr="00A56EAC">
        <w:rPr>
          <w:rFonts w:ascii="Times New Roman" w:hAnsi="Times New Roman" w:cs="Times New Roman"/>
          <w:b/>
          <w:color w:val="000000" w:themeColor="text1"/>
        </w:rPr>
        <w:lastRenderedPageBreak/>
        <w:t>Representação Gráfica entre o Prazo Médio de Pagamento e de Recebimento</w:t>
      </w:r>
    </w:p>
    <w:p w:rsidR="005362A8" w:rsidRPr="00A56EAC" w:rsidRDefault="005362A8" w:rsidP="005362A8">
      <w:pPr>
        <w:pStyle w:val="PargrafodaLista"/>
        <w:rPr>
          <w:rFonts w:ascii="Times New Roman" w:hAnsi="Times New Roman" w:cs="Times New Roman"/>
          <w:color w:val="000000" w:themeColor="text1"/>
        </w:rPr>
      </w:pPr>
    </w:p>
    <w:p w:rsidR="005362A8" w:rsidRPr="005362A8" w:rsidRDefault="005362A8" w:rsidP="005362A8">
      <w:pPr>
        <w:pStyle w:val="PargrafodaLista"/>
        <w:rPr>
          <w:color w:val="000000" w:themeColor="text1"/>
        </w:rPr>
      </w:pPr>
      <w:r>
        <w:rPr>
          <w:noProof/>
          <w:color w:val="000000" w:themeColor="text1"/>
          <w:lang w:eastAsia="pt-PT"/>
        </w:rPr>
        <w:drawing>
          <wp:inline distT="0" distB="0" distL="0" distR="0">
            <wp:extent cx="4497291" cy="2393342"/>
            <wp:effectExtent l="19050" t="0" r="17559" b="6958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50EF6" w:rsidRDefault="00385BC8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 análise do gráfico podemos concluir que o PMP é superior ao PMR, </w:t>
      </w:r>
      <w:r w:rsidRPr="00A56EAC">
        <w:rPr>
          <w:rFonts w:ascii="Times New Roman" w:hAnsi="Times New Roman" w:cs="Times New Roman"/>
          <w:sz w:val="24"/>
          <w:szCs w:val="24"/>
        </w:rPr>
        <w:t>a empresa recebe mais cedo do que ira pagar permitindo a esta algum fundo de maneio para poder pagar aos seus fornecedores</w:t>
      </w:r>
      <w:r w:rsidR="007334F4" w:rsidRPr="00A56EAC">
        <w:rPr>
          <w:rFonts w:ascii="Times New Roman" w:hAnsi="Times New Roman" w:cs="Times New Roman"/>
          <w:sz w:val="24"/>
          <w:szCs w:val="24"/>
        </w:rPr>
        <w:t>.</w:t>
      </w:r>
    </w:p>
    <w:p w:rsidR="00A56EAC" w:rsidRDefault="00A56EAC" w:rsidP="00D57D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EAC" w:rsidRPr="00A56EAC" w:rsidRDefault="00A56EAC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6EAC" w:rsidRPr="000023F9" w:rsidRDefault="00B85C3A" w:rsidP="00D57DEB">
      <w:pPr>
        <w:pStyle w:val="Ttulo3"/>
      </w:pPr>
      <w:bookmarkStart w:id="16" w:name="_Toc280108794"/>
      <w:r>
        <w:t>1</w:t>
      </w:r>
      <w:r w:rsidR="000023F9" w:rsidRPr="000023F9">
        <w:t>.3.3-</w:t>
      </w:r>
      <w:r w:rsidR="007334F4" w:rsidRPr="000023F9">
        <w:t>Produtividade do Trabalho</w:t>
      </w:r>
      <w:bookmarkEnd w:id="16"/>
    </w:p>
    <w:p w:rsidR="007334F4" w:rsidRPr="00A56EAC" w:rsidRDefault="007334F4" w:rsidP="00A56EAC">
      <w:pPr>
        <w:pStyle w:val="PargrafodaLista"/>
        <w:spacing w:line="360" w:lineRule="auto"/>
        <w:ind w:left="1224"/>
        <w:jc w:val="both"/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Produtividade de Trabalho</m:t>
          </m:r>
          <m:r>
            <m:rPr>
              <m:sty m:val="p"/>
            </m:rP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VAB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N</m:t>
              </m:r>
              <m:r>
                <m:rPr>
                  <m:sty m:val="p"/>
                </m:rPr>
                <w:rPr>
                  <w:rFonts w:ascii="Cambria Math"/>
                </w:rPr>
                <m:t>ú</m:t>
              </m:r>
              <m:r>
                <m:rPr>
                  <m:sty m:val="p"/>
                </m:rPr>
                <w:rPr>
                  <w:rFonts w:ascii="Cambria Math"/>
                </w:rPr>
                <m:t>mero M</m:t>
              </m:r>
              <m:r>
                <m:rPr>
                  <m:sty m:val="p"/>
                </m:rPr>
                <w:rPr>
                  <w:rFonts w:ascii="Cambria Math"/>
                </w:rPr>
                <m:t>é</m:t>
              </m:r>
              <m:r>
                <m:rPr>
                  <m:sty m:val="p"/>
                </m:rPr>
                <w:rPr>
                  <w:rFonts w:ascii="Cambria Math"/>
                </w:rPr>
                <m:t>dio de Trabalho</m:t>
              </m:r>
            </m:den>
          </m:f>
        </m:oMath>
      </m:oMathPara>
    </w:p>
    <w:p w:rsidR="007334F4" w:rsidRPr="00EC1DC2" w:rsidRDefault="007334F4" w:rsidP="007334F4">
      <w:pPr>
        <w:spacing w:line="360" w:lineRule="auto"/>
      </w:pPr>
    </w:p>
    <w:p w:rsidR="007334F4" w:rsidRPr="00A56EAC" w:rsidRDefault="007334F4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Este rácio mede a contribuição média do factor produtivo de trabalho (capital) utilizado, para o valor acrescentado gerado pela empresa. </w:t>
      </w: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7334F4" w:rsidRPr="007334F4" w:rsidTr="007334F4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34F4" w:rsidRPr="007334F4" w:rsidRDefault="007334F4" w:rsidP="007334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546128" w:rsidRPr="007334F4" w:rsidTr="007334F4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28" w:rsidRPr="007334F4" w:rsidRDefault="00546128" w:rsidP="007334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Produtividade Trabalhadores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39801,76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30362,28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21967,27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21079,00 </w:t>
            </w:r>
          </w:p>
        </w:tc>
      </w:tr>
    </w:tbl>
    <w:p w:rsidR="007334F4" w:rsidRDefault="007334F4" w:rsidP="007334F4">
      <w:pPr>
        <w:spacing w:line="360" w:lineRule="auto"/>
      </w:pPr>
    </w:p>
    <w:p w:rsidR="007334F4" w:rsidRPr="000023F9" w:rsidRDefault="007334F4" w:rsidP="00D57DEB">
      <w:pPr>
        <w:pStyle w:val="Ttulo3"/>
      </w:pPr>
      <w:r w:rsidRPr="000023F9">
        <w:t xml:space="preserve"> </w:t>
      </w:r>
      <w:bookmarkStart w:id="17" w:name="_Toc280108795"/>
      <w:r w:rsidR="00B85C3A">
        <w:t>1</w:t>
      </w:r>
      <w:r w:rsidR="000023F9" w:rsidRPr="000023F9">
        <w:t>.3.4-</w:t>
      </w:r>
      <w:r w:rsidRPr="000023F9">
        <w:t>Produtividade do Equipamento</w:t>
      </w:r>
      <w:bookmarkEnd w:id="17"/>
    </w:p>
    <w:p w:rsidR="007334F4" w:rsidRDefault="007334F4" w:rsidP="007334F4">
      <w:pPr>
        <w:pStyle w:val="PargrafodaLista"/>
        <w:ind w:left="360"/>
        <w:jc w:val="center"/>
        <w:rPr>
          <w:rFonts w:eastAsiaTheme="minorEastAsia"/>
        </w:rPr>
      </w:pPr>
    </w:p>
    <w:p w:rsidR="007334F4" w:rsidRPr="00AA6DA6" w:rsidRDefault="007334F4" w:rsidP="007334F4">
      <w:pPr>
        <w:pStyle w:val="PargrafodaLista"/>
        <w:ind w:left="360"/>
        <w:jc w:val="center"/>
      </w:pPr>
      <m:oMathPara>
        <m:oMath>
          <m:r>
            <m:rPr>
              <m:sty m:val="p"/>
            </m:rPr>
            <w:rPr>
              <w:rFonts w:ascii="Cambria Math"/>
            </w:rPr>
            <m:t>Produtividade do Equipamento=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VAB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Imobiliza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çõ</m:t>
              </m:r>
              <m:r>
                <m:rPr>
                  <m:sty m:val="p"/>
                </m:rPr>
                <w:rPr>
                  <w:rFonts w:ascii="Cambria Math"/>
                </w:rPr>
                <m:t>es Corp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ó</m:t>
              </m:r>
              <m:r>
                <m:rPr>
                  <m:sty m:val="p"/>
                </m:rPr>
                <w:rPr>
                  <w:rFonts w:ascii="Cambria Math"/>
                </w:rPr>
                <m:t>reas Brutas</m:t>
              </m:r>
            </m:den>
          </m:f>
        </m:oMath>
      </m:oMathPara>
    </w:p>
    <w:p w:rsidR="007334F4" w:rsidRPr="0041142F" w:rsidRDefault="007334F4" w:rsidP="007334F4">
      <w:pPr>
        <w:pStyle w:val="PargrafodaLista"/>
        <w:ind w:left="360"/>
      </w:pPr>
      <w:r w:rsidRPr="0041142F">
        <w:tab/>
      </w:r>
    </w:p>
    <w:p w:rsidR="007334F4" w:rsidRPr="00A56EAC" w:rsidRDefault="007334F4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Este rácio está relacionado com a quantidade e qualidade dos equipamentos existentes. Por seu lado, a produtividade média do equipamento depende não só do </w:t>
      </w:r>
      <w:r w:rsidRPr="00A56EAC">
        <w:rPr>
          <w:rFonts w:ascii="Times New Roman" w:hAnsi="Times New Roman" w:cs="Times New Roman"/>
          <w:sz w:val="24"/>
          <w:szCs w:val="24"/>
        </w:rPr>
        <w:lastRenderedPageBreak/>
        <w:t xml:space="preserve">volume de equipamento, mas também, nomeadamente, da qualificação do factor trabalho. </w:t>
      </w:r>
    </w:p>
    <w:p w:rsidR="007334F4" w:rsidRPr="00FB36A3" w:rsidRDefault="007334F4" w:rsidP="007334F4">
      <w:pPr>
        <w:spacing w:line="360" w:lineRule="auto"/>
        <w:ind w:firstLine="709"/>
        <w:jc w:val="both"/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7334F4" w:rsidRPr="007334F4" w:rsidTr="007334F4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34F4" w:rsidRPr="00A073F2" w:rsidRDefault="007334F4" w:rsidP="00A073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A073F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4F4" w:rsidRPr="007334F4" w:rsidRDefault="007334F4" w:rsidP="007334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7334F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546128" w:rsidRPr="007334F4" w:rsidTr="007334F4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28" w:rsidRPr="00A073F2" w:rsidRDefault="00546128" w:rsidP="007334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A073F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Produtividade Equipamento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0,94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0,70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0,49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128" w:rsidRDefault="00546128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0,44 </w:t>
            </w:r>
          </w:p>
        </w:tc>
      </w:tr>
    </w:tbl>
    <w:p w:rsidR="00A073F2" w:rsidRDefault="00A073F2" w:rsidP="00A073F2">
      <w:pPr>
        <w:spacing w:line="360" w:lineRule="auto"/>
        <w:jc w:val="both"/>
      </w:pPr>
    </w:p>
    <w:p w:rsidR="00067525" w:rsidRPr="00A56EAC" w:rsidRDefault="00A073F2" w:rsidP="00A073F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A56EAC">
        <w:rPr>
          <w:rFonts w:ascii="Times New Roman" w:hAnsi="Times New Roman" w:cs="Times New Roman"/>
          <w:b/>
        </w:rPr>
        <w:t>Representação Gráfica entre a Produtividade do Trabalho e do Equipamento</w:t>
      </w:r>
    </w:p>
    <w:p w:rsidR="00A073F2" w:rsidRDefault="00067525" w:rsidP="00067525">
      <w:pPr>
        <w:pStyle w:val="PargrafodaLista"/>
        <w:spacing w:line="360" w:lineRule="auto"/>
        <w:jc w:val="both"/>
        <w:rPr>
          <w:b/>
        </w:rPr>
      </w:pPr>
      <w:r>
        <w:rPr>
          <w:b/>
          <w:noProof/>
          <w:lang w:eastAsia="pt-PT"/>
        </w:rPr>
        <w:drawing>
          <wp:inline distT="0" distB="0" distL="0" distR="0">
            <wp:extent cx="3792165" cy="1916264"/>
            <wp:effectExtent l="19050" t="0" r="17835" b="7786"/>
            <wp:docPr id="11" name="Gráfic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050EF6" w:rsidRDefault="00ED2AFE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Através da comparação gráfica, concluímos que há uma maior produtividade do trabalho em relação à do equipamento. A reduzida produtividade do equipamento indica que há pouco volume de equipamento existente na empresa e uma grande qualificação do factor </w:t>
      </w:r>
      <w:proofErr w:type="gramStart"/>
      <w:r w:rsidRPr="00A56EAC">
        <w:rPr>
          <w:rFonts w:ascii="Times New Roman" w:hAnsi="Times New Roman" w:cs="Times New Roman"/>
          <w:sz w:val="24"/>
          <w:szCs w:val="24"/>
        </w:rPr>
        <w:t>trabalho</w:t>
      </w:r>
      <w:proofErr w:type="gramEnd"/>
      <w:r w:rsidRPr="00A56EAC">
        <w:rPr>
          <w:rFonts w:ascii="Times New Roman" w:hAnsi="Times New Roman" w:cs="Times New Roman"/>
          <w:sz w:val="24"/>
          <w:szCs w:val="24"/>
        </w:rPr>
        <w:t>.</w:t>
      </w:r>
    </w:p>
    <w:p w:rsidR="00A56EAC" w:rsidRPr="00A56EAC" w:rsidRDefault="00A56EAC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1074A" w:rsidRPr="000023F9" w:rsidRDefault="00B85C3A" w:rsidP="00D57DEB">
      <w:pPr>
        <w:pStyle w:val="Ttulo3"/>
      </w:pPr>
      <w:bookmarkStart w:id="18" w:name="_Toc280108796"/>
      <w:r>
        <w:t>1</w:t>
      </w:r>
      <w:r w:rsidR="000023F9">
        <w:t>.3.5-C</w:t>
      </w:r>
      <w:r w:rsidR="00F1074A" w:rsidRPr="000023F9">
        <w:t>oeficiente Capital / Emprego</w:t>
      </w:r>
      <w:bookmarkEnd w:id="18"/>
    </w:p>
    <w:p w:rsidR="00F1074A" w:rsidRDefault="00F1074A" w:rsidP="00D57DEB">
      <w:pPr>
        <w:pStyle w:val="Ttulo3"/>
      </w:pPr>
    </w:p>
    <w:p w:rsidR="00F1074A" w:rsidRDefault="00F1074A" w:rsidP="00F1074A">
      <w:pPr>
        <w:pStyle w:val="PargrafodaLista"/>
        <w:spacing w:line="360" w:lineRule="auto"/>
        <w:ind w:left="1224"/>
        <w:jc w:val="both"/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/>
            </w:rPr>
            <m:t xml:space="preserve">Coeficiente de Capital/Emprego=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Imobiliza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çõ</m:t>
              </m:r>
              <m:r>
                <m:rPr>
                  <m:sty m:val="p"/>
                </m:rPr>
                <w:rPr>
                  <w:rFonts w:ascii="Cambria Math"/>
                </w:rPr>
                <m:t>es Corp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ó</m:t>
              </m:r>
              <m:r>
                <m:rPr>
                  <m:sty m:val="p"/>
                </m:rPr>
                <w:rPr>
                  <w:rFonts w:ascii="Cambria Math"/>
                </w:rPr>
                <m:t xml:space="preserve">reas Brutas 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N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ú</m:t>
              </m:r>
              <m:r>
                <m:rPr>
                  <m:sty m:val="p"/>
                </m:rPr>
                <w:rPr>
                  <w:rFonts w:ascii="Cambria Math"/>
                </w:rPr>
                <m:t>mero M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é</m:t>
              </m:r>
              <m:r>
                <m:rPr>
                  <m:sty m:val="p"/>
                </m:rPr>
                <w:rPr>
                  <w:rFonts w:ascii="Cambria Math"/>
                </w:rPr>
                <m:t>dio de Trabalhadores</m:t>
              </m:r>
            </m:den>
          </m:f>
        </m:oMath>
      </m:oMathPara>
    </w:p>
    <w:p w:rsidR="00ED2A00" w:rsidRDefault="00ED2A00" w:rsidP="00C00568"/>
    <w:p w:rsidR="00F1074A" w:rsidRPr="00A56EAC" w:rsidRDefault="00F1074A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Este rácio mede o volume de Activos Fixos Tangíveis por trabalhador. Em termos de evolução temporal, este rácio deve ser analisado em conjunto com os rácios de produtividade do trabalho e de produtividade do capital. </w:t>
      </w: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F1074A" w:rsidRPr="00F1074A" w:rsidTr="00F1074A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074A" w:rsidRPr="00F1074A" w:rsidRDefault="00F1074A" w:rsidP="00F107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074A" w:rsidRPr="00F1074A" w:rsidRDefault="00F1074A" w:rsidP="00F107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074A" w:rsidRPr="00F1074A" w:rsidRDefault="00F1074A" w:rsidP="00F107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074A" w:rsidRPr="00F1074A" w:rsidRDefault="00F1074A" w:rsidP="00F107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74A" w:rsidRPr="00F1074A" w:rsidRDefault="00F1074A" w:rsidP="00F107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F1074A" w:rsidRPr="00F1074A" w:rsidTr="00F1074A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74A" w:rsidRPr="00F1074A" w:rsidRDefault="00F1074A" w:rsidP="00F107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C.C.E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74A" w:rsidRPr="00F1074A" w:rsidRDefault="00F1074A" w:rsidP="00F107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42404,70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74A" w:rsidRPr="00F1074A" w:rsidRDefault="00F1074A" w:rsidP="00F107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43665,01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74A" w:rsidRPr="00F1074A" w:rsidRDefault="00F1074A" w:rsidP="00F107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44752,38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74A" w:rsidRPr="00F1074A" w:rsidRDefault="00F1074A" w:rsidP="00F107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1074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48059,67</w:t>
            </w:r>
          </w:p>
        </w:tc>
      </w:tr>
    </w:tbl>
    <w:p w:rsidR="00F1074A" w:rsidRDefault="00F1074A" w:rsidP="00F1074A">
      <w:pPr>
        <w:spacing w:line="360" w:lineRule="auto"/>
        <w:ind w:firstLine="709"/>
        <w:jc w:val="both"/>
      </w:pPr>
    </w:p>
    <w:p w:rsidR="00B27F14" w:rsidRDefault="00B27F14" w:rsidP="00A56E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lastRenderedPageBreak/>
        <w:t>O seu valor depende da natureza da actividade e da mecanização mais ou menos acentuada da produção. Um rácio elevado traduz uma situação de «capital intensivo», um rácio baixo evidencia uma situação de «mão-de-obra intensiva».</w:t>
      </w:r>
    </w:p>
    <w:p w:rsidR="00A56EAC" w:rsidRPr="00A56EAC" w:rsidRDefault="00A56EAC" w:rsidP="00A56EA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7F14" w:rsidRPr="000023F9" w:rsidRDefault="00B85C3A" w:rsidP="00D57DEB">
      <w:pPr>
        <w:pStyle w:val="Ttulo2"/>
      </w:pPr>
      <w:bookmarkStart w:id="19" w:name="_Toc280108797"/>
      <w:r>
        <w:t>1</w:t>
      </w:r>
      <w:r w:rsidR="000023F9" w:rsidRPr="000023F9">
        <w:t>.4-</w:t>
      </w:r>
      <w:r w:rsidR="00B27F14" w:rsidRPr="000023F9">
        <w:t>Rendibilidade Económica</w:t>
      </w:r>
      <w:bookmarkEnd w:id="19"/>
    </w:p>
    <w:p w:rsidR="00B27F14" w:rsidRDefault="00B27F14" w:rsidP="00B27F14">
      <w:pPr>
        <w:pStyle w:val="PargrafodaLista"/>
        <w:autoSpaceDE w:val="0"/>
        <w:autoSpaceDN w:val="0"/>
        <w:adjustRightInd w:val="0"/>
        <w:spacing w:line="360" w:lineRule="auto"/>
        <w:ind w:left="792"/>
        <w:jc w:val="both"/>
      </w:pPr>
    </w:p>
    <w:p w:rsidR="00B27F14" w:rsidRPr="00A56EAC" w:rsidRDefault="00B27F14" w:rsidP="00A56EAC">
      <w:pPr>
        <w:pStyle w:val="PargrafodaLista"/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A Rendibilidade analisa a evolução </w:t>
      </w:r>
      <w:proofErr w:type="gramStart"/>
      <w:r w:rsidRPr="00A56EAC">
        <w:rPr>
          <w:rFonts w:ascii="Times New Roman" w:hAnsi="Times New Roman" w:cs="Times New Roman"/>
          <w:sz w:val="24"/>
          <w:szCs w:val="24"/>
        </w:rPr>
        <w:t>dos</w:t>
      </w:r>
      <w:proofErr w:type="gramEnd"/>
      <w:r w:rsidRPr="00A56EAC">
        <w:rPr>
          <w:rFonts w:ascii="Times New Roman" w:hAnsi="Times New Roman" w:cs="Times New Roman"/>
          <w:sz w:val="24"/>
          <w:szCs w:val="24"/>
        </w:rPr>
        <w:t xml:space="preserve"> proveitos e custos gerados pela empresa, procura-se agora avaliar a capacidade de gerar resultados e, em particular da dimensão desses resultados. </w:t>
      </w:r>
    </w:p>
    <w:p w:rsidR="00B27F14" w:rsidRPr="00A56EAC" w:rsidRDefault="00B27F14" w:rsidP="00A56EAC">
      <w:pPr>
        <w:pStyle w:val="PargrafodaLista"/>
        <w:autoSpaceDE w:val="0"/>
        <w:autoSpaceDN w:val="0"/>
        <w:adjustRightInd w:val="0"/>
        <w:spacing w:after="0" w:line="360" w:lineRule="auto"/>
        <w:ind w:left="3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No entanto, a compressão da evolução da rendibilidade e das determinantes impõe igualmente o uso das outras técnicas já utilizadas anteriormente</w:t>
      </w:r>
    </w:p>
    <w:p w:rsidR="00DF5FA2" w:rsidRDefault="00DF5FA2" w:rsidP="00B27F14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</w:pPr>
    </w:p>
    <w:p w:rsidR="00B27F14" w:rsidRPr="000023F9" w:rsidRDefault="00B85C3A" w:rsidP="00D57DEB">
      <w:pPr>
        <w:pStyle w:val="Ttulo3"/>
      </w:pPr>
      <w:bookmarkStart w:id="20" w:name="_Toc280108798"/>
      <w:r>
        <w:t>1</w:t>
      </w:r>
      <w:r w:rsidR="000023F9" w:rsidRPr="000023F9">
        <w:t>.4.1-</w:t>
      </w:r>
      <w:r w:rsidR="00DF5FA2" w:rsidRPr="000023F9">
        <w:t>Rendibilidade Operacional do Volume de Negócios</w:t>
      </w:r>
      <w:bookmarkEnd w:id="20"/>
    </w:p>
    <w:p w:rsidR="00A56EAC" w:rsidRPr="00A56EAC" w:rsidRDefault="00A56EAC" w:rsidP="00A56EAC">
      <w:pPr>
        <w:pStyle w:val="PargrafodaLista"/>
        <w:autoSpaceDE w:val="0"/>
        <w:autoSpaceDN w:val="0"/>
        <w:adjustRightInd w:val="0"/>
        <w:spacing w:after="0" w:line="360" w:lineRule="auto"/>
        <w:ind w:left="1151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DF5FA2" w:rsidRPr="00DF5FA2" w:rsidRDefault="00DF5FA2" w:rsidP="00DF5FA2">
      <w:pPr>
        <w:autoSpaceDE w:val="0"/>
        <w:autoSpaceDN w:val="0"/>
        <w:adjustRightInd w:val="0"/>
        <w:spacing w:line="360" w:lineRule="auto"/>
        <w:jc w:val="both"/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/>
            </w:rPr>
            <m:t>Rendibilidade Operacional do Volume de Neg</m:t>
          </m:r>
          <m:r>
            <m:rPr>
              <m:sty m:val="p"/>
            </m:rPr>
            <w:rPr>
              <w:rFonts w:ascii="Cambria Math"/>
            </w:rPr>
            <m:t>ó</m:t>
          </m:r>
          <m:r>
            <m:rPr>
              <m:sty m:val="p"/>
            </m:rPr>
            <w:rPr>
              <w:rFonts w:ascii="Cambria Math"/>
            </w:rPr>
            <m:t xml:space="preserve">cios=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 xml:space="preserve">Resultados Operacionais 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(Vendas+Presta</m:t>
              </m:r>
              <m:r>
                <m:rPr>
                  <m:sty m:val="p"/>
                </m:rPr>
                <m:t>çã</m:t>
              </m:r>
              <m:r>
                <m:rPr>
                  <m:sty m:val="p"/>
                </m:rPr>
                <w:rPr>
                  <w:rFonts w:ascii="Cambria Math"/>
                </w:rPr>
                <m:t>o de Servi</m:t>
              </m:r>
              <m:r>
                <m:rPr>
                  <m:sty m:val="p"/>
                </m:rPr>
                <m:t>ç</m:t>
              </m:r>
              <m:r>
                <m:rPr>
                  <m:sty m:val="p"/>
                </m:rPr>
                <w:rPr>
                  <w:rFonts w:ascii="Cambria Math"/>
                </w:rPr>
                <m:t>os)</m:t>
              </m:r>
            </m:den>
          </m:f>
        </m:oMath>
      </m:oMathPara>
    </w:p>
    <w:p w:rsidR="00DF5FA2" w:rsidRPr="00A56EAC" w:rsidRDefault="00DF5FA2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A rendibilidade de uma empresa consiste na capacidade que esta tem de gerar resultados, principalmente pela dimensão dos mesmos.</w:t>
      </w:r>
    </w:p>
    <w:p w:rsidR="00DF5FA2" w:rsidRPr="00A56EAC" w:rsidRDefault="00DF5FA2" w:rsidP="00A56EAC">
      <w:pPr>
        <w:tabs>
          <w:tab w:val="left" w:pos="21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Assim, a rendibilidade é analisada a partir da relativização dos resultados obtidos, pelo volume de recursos envolvidos na sua obtenção. </w:t>
      </w:r>
    </w:p>
    <w:p w:rsidR="00B27F14" w:rsidRPr="00A56EAC" w:rsidRDefault="00DF5FA2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Assim, mostra-nos a percentagem que vai para o resultado líquido, por cada euro ganho em vendas ou prestação de serviços.</w:t>
      </w: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DF5FA2" w:rsidRPr="00DF5FA2" w:rsidTr="00DF5FA2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FA2" w:rsidRPr="00DF5FA2" w:rsidRDefault="00DF5FA2" w:rsidP="00DF5F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5FA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FA2" w:rsidRPr="00DF5FA2" w:rsidRDefault="00DF5FA2" w:rsidP="00DF5F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5FA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FA2" w:rsidRPr="00DF5FA2" w:rsidRDefault="00DF5FA2" w:rsidP="00DF5F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5FA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FA2" w:rsidRPr="00DF5FA2" w:rsidRDefault="00DF5FA2" w:rsidP="00DF5F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5FA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FA2" w:rsidRPr="00DF5FA2" w:rsidRDefault="00DF5FA2" w:rsidP="00DF5F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5FA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506256" w:rsidRPr="00DF5FA2" w:rsidTr="00DF5FA2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256" w:rsidRPr="00DF5FA2" w:rsidRDefault="00506256" w:rsidP="00DF5F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5FA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Rendibilidade Operacional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Default="0050625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4,06%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Default="0050625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5,20%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Default="0050625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17,60%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Default="0050625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-10,07%</w:t>
            </w:r>
          </w:p>
        </w:tc>
      </w:tr>
    </w:tbl>
    <w:p w:rsidR="00647F11" w:rsidRDefault="00647F11" w:rsidP="00647F11">
      <w:pPr>
        <w:spacing w:line="360" w:lineRule="auto"/>
        <w:jc w:val="both"/>
      </w:pPr>
    </w:p>
    <w:p w:rsidR="00647F11" w:rsidRDefault="00647F11" w:rsidP="00A56EAC">
      <w:pPr>
        <w:spacing w:after="0" w:line="360" w:lineRule="auto"/>
        <w:ind w:firstLine="709"/>
        <w:jc w:val="both"/>
      </w:pPr>
      <w:r w:rsidRPr="00A56EAC">
        <w:rPr>
          <w:rFonts w:ascii="Times New Roman" w:hAnsi="Times New Roman" w:cs="Times New Roman"/>
          <w:sz w:val="24"/>
          <w:szCs w:val="24"/>
        </w:rPr>
        <w:t>Com base neste rácio podemos concluir que existe um aumento ao longo dos anos excepto no ano de 2006 que obtivemos valores negativos, isto deve-se ao valor dos resultados operacionais ser negativo</w:t>
      </w:r>
      <w:r w:rsidRPr="007A6ECC">
        <w:t>.</w:t>
      </w:r>
      <w:r w:rsidRPr="0041142F">
        <w:t xml:space="preserve"> </w:t>
      </w:r>
    </w:p>
    <w:p w:rsidR="00A56EAC" w:rsidRDefault="00A56EAC" w:rsidP="0094439B">
      <w:pPr>
        <w:pStyle w:val="PargrafodaLista"/>
        <w:spacing w:line="360" w:lineRule="auto"/>
        <w:ind w:left="1224"/>
        <w:jc w:val="both"/>
        <w:rPr>
          <w:b/>
          <w:color w:val="7030A0"/>
        </w:rPr>
      </w:pPr>
    </w:p>
    <w:p w:rsidR="00D57DEB" w:rsidRDefault="00D57DEB" w:rsidP="0094439B">
      <w:pPr>
        <w:pStyle w:val="PargrafodaLista"/>
        <w:spacing w:line="360" w:lineRule="auto"/>
        <w:ind w:left="1224"/>
        <w:jc w:val="both"/>
        <w:rPr>
          <w:b/>
          <w:color w:val="7030A0"/>
        </w:rPr>
      </w:pPr>
    </w:p>
    <w:p w:rsidR="00D57DEB" w:rsidRDefault="00D57DEB" w:rsidP="0094439B">
      <w:pPr>
        <w:pStyle w:val="PargrafodaLista"/>
        <w:spacing w:line="360" w:lineRule="auto"/>
        <w:ind w:left="1224"/>
        <w:jc w:val="both"/>
        <w:rPr>
          <w:b/>
          <w:color w:val="7030A0"/>
        </w:rPr>
      </w:pPr>
    </w:p>
    <w:p w:rsidR="00D57DEB" w:rsidRDefault="00D57DEB" w:rsidP="0094439B">
      <w:pPr>
        <w:pStyle w:val="PargrafodaLista"/>
        <w:spacing w:line="360" w:lineRule="auto"/>
        <w:ind w:left="1224"/>
        <w:jc w:val="both"/>
        <w:rPr>
          <w:b/>
          <w:color w:val="7030A0"/>
        </w:rPr>
      </w:pPr>
    </w:p>
    <w:p w:rsidR="00647F11" w:rsidRPr="000023F9" w:rsidRDefault="00B85C3A" w:rsidP="00D57DEB">
      <w:pPr>
        <w:pStyle w:val="Ttulo3"/>
      </w:pPr>
      <w:bookmarkStart w:id="21" w:name="_Toc280108799"/>
      <w:r>
        <w:lastRenderedPageBreak/>
        <w:t>1</w:t>
      </w:r>
      <w:r w:rsidR="000023F9">
        <w:t>.4.2</w:t>
      </w:r>
      <w:r w:rsidR="00DB65C5" w:rsidRPr="000023F9">
        <w:t xml:space="preserve"> Rendibilidade Liquida do Volume de Negócios</w:t>
      </w:r>
      <w:bookmarkEnd w:id="21"/>
    </w:p>
    <w:p w:rsidR="00A56EAC" w:rsidRDefault="00A56EAC" w:rsidP="00DB65C5">
      <w:pPr>
        <w:spacing w:line="360" w:lineRule="auto"/>
        <w:jc w:val="both"/>
        <w:rPr>
          <w:rFonts w:ascii="Times New Roman" w:eastAsiaTheme="minorEastAsia" w:hAnsi="Times New Roman" w:cs="Times New Roman"/>
        </w:rPr>
      </w:pPr>
    </w:p>
    <w:p w:rsidR="00DB65C5" w:rsidRPr="00DB65C5" w:rsidRDefault="00DB65C5" w:rsidP="00DB65C5">
      <w:pPr>
        <w:spacing w:line="360" w:lineRule="auto"/>
        <w:jc w:val="both"/>
        <w:rPr>
          <w:b/>
          <w:color w:val="7030A0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/>
            </w:rPr>
            <m:t xml:space="preserve">Rendibilidade Liquido do VN=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RLE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Volume de Neg</m:t>
              </m:r>
              <m:r>
                <m:rPr>
                  <m:sty m:val="p"/>
                </m:rPr>
                <w:rPr>
                  <w:rFonts w:ascii="Cambria Math"/>
                </w:rPr>
                <m:t>ó</m:t>
              </m:r>
              <m:r>
                <m:rPr>
                  <m:sty m:val="p"/>
                </m:rPr>
                <w:rPr>
                  <w:rFonts w:ascii="Cambria Math"/>
                </w:rPr>
                <m:t>cios</m:t>
              </m:r>
            </m:den>
          </m:f>
        </m:oMath>
      </m:oMathPara>
    </w:p>
    <w:p w:rsidR="00A56EAC" w:rsidRDefault="00A56EAC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65C5" w:rsidRPr="00A56EAC" w:rsidRDefault="00DB65C5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Este indicador mede o lucro (prejuízo) da empresa por cada unidade vendida. Trata-se de um indicador fundamental já que o seu valor depende de dois factores: o factor comercial e o factor industrial. Na verdade, a rendibilidade das vendas melhora se a empresa mantiver o preço de custo e aumentar o perco de venda (factor comercial), mas a rendibilidade também melhora se </w:t>
      </w:r>
      <w:proofErr w:type="spellStart"/>
      <w:r w:rsidRPr="00A56EAC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Pr="00A56EAC">
        <w:rPr>
          <w:rFonts w:ascii="Times New Roman" w:hAnsi="Times New Roman" w:cs="Times New Roman"/>
          <w:sz w:val="24"/>
          <w:szCs w:val="24"/>
        </w:rPr>
        <w:t xml:space="preserve"> mantiver o preço de venda e se reduzir o custo unitário (factor industrial).</w:t>
      </w:r>
    </w:p>
    <w:p w:rsidR="00DF5FA2" w:rsidRPr="0041142F" w:rsidRDefault="00DF5FA2" w:rsidP="00647F11">
      <w:pPr>
        <w:spacing w:line="360" w:lineRule="auto"/>
        <w:jc w:val="both"/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DB65C5" w:rsidRPr="00DB65C5" w:rsidTr="00DB65C5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5C5" w:rsidRPr="00DB65C5" w:rsidRDefault="00DB65C5" w:rsidP="00DB65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B65C5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C5" w:rsidRPr="00DB65C5" w:rsidRDefault="00DB65C5" w:rsidP="00DB65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B65C5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65C5" w:rsidRPr="00DB65C5" w:rsidRDefault="00DB65C5" w:rsidP="00DB65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B65C5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65C5" w:rsidRPr="00DB65C5" w:rsidRDefault="00DB65C5" w:rsidP="00DB65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B65C5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65C5" w:rsidRPr="00DB65C5" w:rsidRDefault="00DB65C5" w:rsidP="00DB65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B65C5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C41A3D" w:rsidRPr="00DB65C5" w:rsidTr="00DB65C5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3D" w:rsidRPr="00DB65C5" w:rsidRDefault="00C41A3D" w:rsidP="00DB65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B65C5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Rendibilidade Liquida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-0,75%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-2,70%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6,65%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-20,21%</w:t>
            </w:r>
          </w:p>
        </w:tc>
      </w:tr>
    </w:tbl>
    <w:p w:rsidR="00F1074A" w:rsidRDefault="00F1074A" w:rsidP="00DB65C5">
      <w:pPr>
        <w:rPr>
          <w:color w:val="000000" w:themeColor="text1"/>
        </w:rPr>
      </w:pPr>
    </w:p>
    <w:p w:rsidR="00DB65C5" w:rsidRPr="00A56EAC" w:rsidRDefault="00DB65C5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Como se pode verificar a empresa teve prejuízo ao longo dos anos, logo a rendibilidade líquida do volu</w:t>
      </w:r>
      <w:r w:rsidR="00C41A3D">
        <w:rPr>
          <w:rFonts w:ascii="Times New Roman" w:hAnsi="Times New Roman" w:cs="Times New Roman"/>
          <w:sz w:val="24"/>
          <w:szCs w:val="24"/>
        </w:rPr>
        <w:t>me de negócios vai ser negativa, excepto no ano de 2007.</w:t>
      </w:r>
    </w:p>
    <w:p w:rsidR="00DB65C5" w:rsidRPr="00A56EAC" w:rsidRDefault="00DB65C5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Nos restantes anos podemos verificar que a </w:t>
      </w:r>
      <w:proofErr w:type="spellStart"/>
      <w:r w:rsidRPr="00A56EAC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A56EAC">
        <w:rPr>
          <w:rFonts w:ascii="Times New Roman" w:hAnsi="Times New Roman" w:cs="Times New Roman"/>
          <w:sz w:val="24"/>
          <w:szCs w:val="24"/>
        </w:rPr>
        <w:t xml:space="preserve"> tem vindo a diminuir o prejuízo por cada unidade vendida.</w:t>
      </w:r>
    </w:p>
    <w:p w:rsidR="00A56EAC" w:rsidRDefault="00DB65C5" w:rsidP="0094439B">
      <w:pPr>
        <w:pStyle w:val="PargrafodaLista"/>
        <w:spacing w:line="360" w:lineRule="auto"/>
        <w:ind w:left="1224"/>
        <w:jc w:val="both"/>
        <w:rPr>
          <w:b/>
          <w:color w:val="7030A0"/>
        </w:rPr>
      </w:pPr>
      <w:r w:rsidRPr="00DB65C5">
        <w:rPr>
          <w:b/>
          <w:color w:val="7030A0"/>
        </w:rPr>
        <w:t xml:space="preserve"> </w:t>
      </w:r>
    </w:p>
    <w:p w:rsidR="00DB65C5" w:rsidRDefault="00B85C3A" w:rsidP="00D57DEB">
      <w:pPr>
        <w:pStyle w:val="Ttulo3"/>
      </w:pPr>
      <w:bookmarkStart w:id="22" w:name="_Toc280108800"/>
      <w:r>
        <w:t>1</w:t>
      </w:r>
      <w:r w:rsidR="000023F9">
        <w:t>.4.3-</w:t>
      </w:r>
      <w:r w:rsidR="00DB65C5" w:rsidRPr="000023F9">
        <w:t>Rotação do Activo</w:t>
      </w:r>
      <w:bookmarkEnd w:id="22"/>
    </w:p>
    <w:p w:rsidR="00D57DEB" w:rsidRPr="00D57DEB" w:rsidRDefault="00D57DEB" w:rsidP="00D57DEB"/>
    <w:p w:rsidR="00DB65C5" w:rsidRDefault="00DB65C5" w:rsidP="00DB65C5">
      <w:pPr>
        <w:pStyle w:val="PargrafodaLista"/>
        <w:spacing w:line="360" w:lineRule="auto"/>
        <w:ind w:left="1224"/>
        <w:jc w:val="both"/>
        <w:rPr>
          <w:rFonts w:eastAsiaTheme="minorEastAsia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/>
            </w:rPr>
            <m:t>Rota</m:t>
          </m:r>
          <m:r>
            <m:rPr>
              <m:sty m:val="p"/>
            </m:rPr>
            <w:rPr>
              <w:rFonts w:ascii="Cambria Math"/>
            </w:rPr>
            <m:t>çã</m:t>
          </m:r>
          <m:r>
            <m:rPr>
              <m:sty m:val="p"/>
            </m:rPr>
            <w:rPr>
              <w:rFonts w:ascii="Cambria Math"/>
            </w:rPr>
            <m:t xml:space="preserve">o do Activo=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Volume de Neg</m:t>
              </m:r>
              <m:r>
                <m:rPr>
                  <m:sty m:val="p"/>
                </m:rPr>
                <w:rPr>
                  <w:rFonts w:ascii="Cambria Math"/>
                </w:rPr>
                <m:t>ó</m:t>
              </m:r>
              <m:r>
                <m:rPr>
                  <m:sty m:val="p"/>
                </m:rPr>
                <w:rPr>
                  <w:rFonts w:ascii="Cambria Math"/>
                </w:rPr>
                <m:t xml:space="preserve">cios 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Activo Total</m:t>
              </m:r>
            </m:den>
          </m:f>
        </m:oMath>
      </m:oMathPara>
    </w:p>
    <w:p w:rsidR="00D57DEB" w:rsidRPr="00DB65C5" w:rsidRDefault="00D57DEB" w:rsidP="00DB65C5">
      <w:pPr>
        <w:pStyle w:val="PargrafodaLista"/>
        <w:spacing w:line="360" w:lineRule="auto"/>
        <w:ind w:left="1224"/>
        <w:jc w:val="both"/>
        <w:rPr>
          <w:b/>
          <w:color w:val="7030A0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94439B" w:rsidRPr="0094439B" w:rsidTr="0094439B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439B" w:rsidRPr="0094439B" w:rsidRDefault="0094439B" w:rsidP="009443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94439B" w:rsidRPr="0094439B" w:rsidTr="0094439B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9B" w:rsidRPr="0094439B" w:rsidRDefault="0094439B" w:rsidP="009443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Rotação do Activo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1,15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0,81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0,48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439B" w:rsidRPr="0094439B" w:rsidRDefault="0094439B" w:rsidP="009443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94439B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0,58</w:t>
            </w:r>
          </w:p>
        </w:tc>
      </w:tr>
    </w:tbl>
    <w:p w:rsidR="00DB65C5" w:rsidRDefault="00DB65C5" w:rsidP="00DB65C5">
      <w:pPr>
        <w:rPr>
          <w:color w:val="000000" w:themeColor="text1"/>
        </w:rPr>
      </w:pPr>
    </w:p>
    <w:p w:rsidR="0094439B" w:rsidRDefault="0094439B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Podemos concluir que houve um aumento da sua capacidade de rotação do activo, ou seja, a empresa tem vindo a aproveitar os seus recursos disponíveis o que nos indica uma boa utilização destes. </w:t>
      </w:r>
    </w:p>
    <w:p w:rsidR="00A56EAC" w:rsidRPr="00A56EAC" w:rsidRDefault="00A56EAC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4439B" w:rsidRDefault="00B85C3A" w:rsidP="00D57DEB">
      <w:pPr>
        <w:pStyle w:val="Ttulo1"/>
      </w:pPr>
      <w:bookmarkStart w:id="23" w:name="_Toc280108801"/>
      <w:r>
        <w:t>2</w:t>
      </w:r>
      <w:r w:rsidR="000023F9">
        <w:t>-</w:t>
      </w:r>
      <w:r w:rsidR="0094439B" w:rsidRPr="00A56EAC">
        <w:t>Análise Financeira</w:t>
      </w:r>
      <w:bookmarkEnd w:id="23"/>
    </w:p>
    <w:p w:rsidR="00A56EAC" w:rsidRPr="00A56EAC" w:rsidRDefault="00A56EAC" w:rsidP="00A56EAC">
      <w:p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167DE9" w:rsidRPr="00A56EAC" w:rsidRDefault="00B85C3A" w:rsidP="00D57DEB">
      <w:pPr>
        <w:pStyle w:val="Ttulo2"/>
      </w:pPr>
      <w:bookmarkStart w:id="24" w:name="_Toc280108802"/>
      <w:r>
        <w:t>2</w:t>
      </w:r>
      <w:r w:rsidR="000023F9">
        <w:t>.1-</w:t>
      </w:r>
      <w:r w:rsidR="0094439B" w:rsidRPr="00A56EAC">
        <w:t>Liquide</w:t>
      </w:r>
      <w:r w:rsidR="00167DE9" w:rsidRPr="00A56EAC">
        <w:t>z</w:t>
      </w:r>
      <w:bookmarkEnd w:id="24"/>
    </w:p>
    <w:p w:rsidR="00167DE9" w:rsidRPr="00A56EAC" w:rsidRDefault="00167DE9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 xml:space="preserve">Os indicadores de liquidez, têm por finalidade analisar a capacidade que a empresa tem para honrar os compromissos financeiros no curto prazo. Eles analisam em que nível está a empresa para cumprir com as condições das obrigações de natureza financeira tais como o pagamento das matérias-primas, dos salários, da energia, etc. </w:t>
      </w:r>
    </w:p>
    <w:p w:rsidR="00167DE9" w:rsidRPr="00A56EAC" w:rsidRDefault="00167DE9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Quando existe Liquidez considera-se que a empresa possui equilíbrio financeiro.</w:t>
      </w:r>
    </w:p>
    <w:p w:rsidR="00A56EAC" w:rsidRDefault="00A56EAC" w:rsidP="00A56EAC">
      <w:p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167DE9" w:rsidRPr="00A56EAC" w:rsidRDefault="00B85C3A" w:rsidP="00D57DEB">
      <w:pPr>
        <w:pStyle w:val="Ttulo3"/>
      </w:pPr>
      <w:bookmarkStart w:id="25" w:name="_Toc280108803"/>
      <w:r>
        <w:t>2</w:t>
      </w:r>
      <w:r w:rsidR="000023F9">
        <w:t>.1.1-</w:t>
      </w:r>
      <w:r w:rsidR="00167DE9" w:rsidRPr="00A56EAC">
        <w:t>Óptica Tradicional</w:t>
      </w:r>
      <w:bookmarkEnd w:id="25"/>
    </w:p>
    <w:p w:rsidR="00A56EAC" w:rsidRDefault="00A56EAC" w:rsidP="00A56EAC">
      <w:p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6678AA" w:rsidRPr="00A56EAC" w:rsidRDefault="00B85C3A" w:rsidP="00D57DEB">
      <w:pPr>
        <w:pStyle w:val="Ttulo4"/>
      </w:pPr>
      <w:r>
        <w:t>2</w:t>
      </w:r>
      <w:r w:rsidR="000023F9">
        <w:t>.1.1.1-</w:t>
      </w:r>
      <w:r w:rsidR="00167DE9" w:rsidRPr="00A56EAC">
        <w:t>Liquidez Geral</w:t>
      </w:r>
    </w:p>
    <w:p w:rsidR="00167DE9" w:rsidRPr="00167DE9" w:rsidRDefault="00167DE9" w:rsidP="00167DE9">
      <w:pPr>
        <w:spacing w:line="360" w:lineRule="auto"/>
        <w:jc w:val="both"/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 w:eastAsia="Times New Roman"/>
            </w:rPr>
            <m:t>Liquidez Geral=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Activo Circulante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Passivo de Curto Prazo</m:t>
              </m:r>
            </m:den>
          </m:f>
        </m:oMath>
      </m:oMathPara>
    </w:p>
    <w:p w:rsidR="006678AA" w:rsidRDefault="006678AA" w:rsidP="00F94DAF">
      <w:pPr>
        <w:pStyle w:val="Corpodetexto"/>
        <w:spacing w:line="360" w:lineRule="auto"/>
        <w:ind w:firstLine="709"/>
      </w:pPr>
    </w:p>
    <w:p w:rsidR="00F94DAF" w:rsidRPr="00A56EAC" w:rsidRDefault="00F94DAF" w:rsidP="00A56EAC">
      <w:pPr>
        <w:pStyle w:val="Corpodetexto"/>
        <w:spacing w:after="0" w:line="360" w:lineRule="auto"/>
        <w:ind w:firstLine="709"/>
        <w:jc w:val="both"/>
      </w:pPr>
      <w:r w:rsidRPr="00A56EAC">
        <w:t xml:space="preserve">A liquidez geral indica quanto a empresa possui em dinheiro, bens e direitos realizáveis a curto e a longo prazo, para fazer face às suas dívidas totais. </w:t>
      </w:r>
    </w:p>
    <w:p w:rsidR="00F94DAF" w:rsidRPr="00A56EAC" w:rsidRDefault="00F94DAF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Mas este valor apesar de ter que ser superior a 1 para garantir uma estabilidade da empresa, também não se quer muito elevado, pois se isto acontecer pode significar:</w:t>
      </w:r>
    </w:p>
    <w:p w:rsidR="00F94DAF" w:rsidRPr="00A56EAC" w:rsidRDefault="00F94DAF" w:rsidP="00A56EAC">
      <w:pPr>
        <w:numPr>
          <w:ilvl w:val="0"/>
          <w:numId w:val="12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Bastantes stocks inúteis no armazém;</w:t>
      </w:r>
    </w:p>
    <w:p w:rsidR="00F94DAF" w:rsidRPr="00A56EAC" w:rsidRDefault="00F94DAF" w:rsidP="00A56EAC">
      <w:pPr>
        <w:numPr>
          <w:ilvl w:val="0"/>
          <w:numId w:val="12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Um valor bastante elevado de dívidas por parte dos clientes;</w:t>
      </w:r>
    </w:p>
    <w:p w:rsidR="00F94DAF" w:rsidRPr="00A56EAC" w:rsidRDefault="00F94DAF" w:rsidP="00A56EAC">
      <w:pPr>
        <w:numPr>
          <w:ilvl w:val="0"/>
          <w:numId w:val="12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Grandes disponibilidades em caixa ou em bancos.</w:t>
      </w:r>
    </w:p>
    <w:p w:rsidR="00F94DAF" w:rsidRDefault="00F94DAF" w:rsidP="00F94DAF">
      <w:pPr>
        <w:spacing w:after="0" w:line="360" w:lineRule="auto"/>
        <w:ind w:left="1429"/>
        <w:jc w:val="both"/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F94DAF" w:rsidRPr="00F94DAF" w:rsidTr="00F94DAF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4DAF" w:rsidRPr="00F94DAF" w:rsidRDefault="00F94DAF" w:rsidP="00F94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DAF" w:rsidRPr="00F94DAF" w:rsidRDefault="00F94DAF" w:rsidP="00F94D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DAF" w:rsidRPr="00F94DAF" w:rsidRDefault="00F94DAF" w:rsidP="00F94D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DAF" w:rsidRPr="00F94DAF" w:rsidRDefault="00F94DAF" w:rsidP="00F94D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DAF" w:rsidRPr="00F94DAF" w:rsidRDefault="00F94DAF" w:rsidP="00F94D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F94DAF" w:rsidRPr="00F94DAF" w:rsidTr="00F94DAF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AF" w:rsidRPr="00F94DAF" w:rsidRDefault="00F94DAF" w:rsidP="00F94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Liquidez Geral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AF" w:rsidRPr="00F94DAF" w:rsidRDefault="00F94DAF" w:rsidP="00F94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50,24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AF" w:rsidRPr="00F94DAF" w:rsidRDefault="00F94DAF" w:rsidP="00F94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49,33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AF" w:rsidRPr="00F94DAF" w:rsidRDefault="00F94DAF" w:rsidP="00F94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0,79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AF" w:rsidRPr="00F94DAF" w:rsidRDefault="00F94DAF" w:rsidP="00F94D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94DA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0,45</w:t>
            </w:r>
          </w:p>
        </w:tc>
      </w:tr>
    </w:tbl>
    <w:p w:rsidR="00F94DAF" w:rsidRDefault="00F94DAF" w:rsidP="00F94DAF">
      <w:pPr>
        <w:spacing w:after="0" w:line="360" w:lineRule="auto"/>
        <w:jc w:val="both"/>
      </w:pPr>
    </w:p>
    <w:p w:rsidR="00F94DAF" w:rsidRPr="00A56EAC" w:rsidRDefault="00F94DAF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Verifica-se que a Capacidade Líquida das Dividas aumentou ao longo dos anos, existem valores inferiores a 1 e superiores a</w:t>
      </w:r>
      <w:r w:rsidR="00DF4DBE" w:rsidRPr="00A56EAC">
        <w:rPr>
          <w:rFonts w:ascii="Times New Roman" w:hAnsi="Times New Roman" w:cs="Times New Roman"/>
          <w:sz w:val="24"/>
          <w:szCs w:val="24"/>
        </w:rPr>
        <w:t xml:space="preserve"> 2 o que não é muito bom como já foi referido anteriormente.</w:t>
      </w:r>
    </w:p>
    <w:p w:rsidR="00DF4DBE" w:rsidRDefault="00DF4DBE" w:rsidP="00F94DAF">
      <w:pPr>
        <w:spacing w:after="0" w:line="360" w:lineRule="auto"/>
        <w:jc w:val="both"/>
      </w:pPr>
    </w:p>
    <w:p w:rsidR="00DF4DBE" w:rsidRPr="00A56EAC" w:rsidRDefault="00B85C3A" w:rsidP="00D57DEB">
      <w:pPr>
        <w:pStyle w:val="Ttulo4"/>
      </w:pPr>
      <w:r>
        <w:lastRenderedPageBreak/>
        <w:t>2</w:t>
      </w:r>
      <w:r w:rsidR="0058181A">
        <w:t>.1.1.2-</w:t>
      </w:r>
      <w:r w:rsidR="00DF4DBE" w:rsidRPr="00A56EAC">
        <w:t>Liquidez Reduzida</w:t>
      </w:r>
    </w:p>
    <w:p w:rsidR="00DF4DBE" w:rsidRDefault="00DF4DBE" w:rsidP="00F94DAF">
      <w:pPr>
        <w:spacing w:after="0" w:line="360" w:lineRule="auto"/>
        <w:jc w:val="both"/>
        <w:rPr>
          <w:b/>
          <w:color w:val="7030A0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="Times New Roman"/>
            </w:rPr>
            <m:t>Liquidez Reduzida=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(Activo Circulante</m:t>
              </m:r>
              <m:r>
                <m:rPr>
                  <m:sty m:val="p"/>
                </m:rPr>
                <w:rPr>
                  <w:rFonts w:ascii="Cambria Math"/>
                </w:rPr>
                <m:t>-</m:t>
              </m:r>
              <m:r>
                <m:rPr>
                  <m:sty m:val="p"/>
                </m:rPr>
                <w:rPr>
                  <w:rFonts w:ascii="Cambria Math"/>
                </w:rPr>
                <m:t>Exist</m:t>
              </m:r>
              <m:r>
                <m:rPr>
                  <m:sty m:val="p"/>
                </m:rPr>
                <w:rPr>
                  <w:rFonts w:ascii="Cambria Math"/>
                </w:rPr>
                <m:t>ê</m:t>
              </m:r>
              <m:r>
                <m:rPr>
                  <m:sty m:val="p"/>
                </m:rPr>
                <w:rPr>
                  <w:rFonts w:ascii="Cambria Math"/>
                </w:rPr>
                <m:t>ncias)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Passivo de Curto Prazo</m:t>
              </m:r>
            </m:den>
          </m:f>
        </m:oMath>
      </m:oMathPara>
    </w:p>
    <w:p w:rsidR="00DF4DBE" w:rsidRPr="00DF4DBE" w:rsidRDefault="00DF4DBE" w:rsidP="00F94DAF">
      <w:pPr>
        <w:spacing w:after="0" w:line="360" w:lineRule="auto"/>
        <w:jc w:val="both"/>
        <w:rPr>
          <w:b/>
          <w:color w:val="7030A0"/>
        </w:rPr>
      </w:pPr>
    </w:p>
    <w:p w:rsidR="00167DE9" w:rsidRDefault="00DF4DBE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Este indicador diz-nos qual o peso dos stocks na estrutura da empresa. Se houver uma diferença exagerada entre o valor da liquidez geral e o valor da liquidez, devemos acautelar-nos, pois tal facto poderá significar que a empresa está a produzir para o armazém e não para o mercado.</w:t>
      </w:r>
    </w:p>
    <w:p w:rsidR="00A56EAC" w:rsidRPr="00A56EAC" w:rsidRDefault="00A56EAC" w:rsidP="00A56E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DF4DBE" w:rsidRPr="00DF4DBE" w:rsidTr="00DF4DBE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4DBE" w:rsidRPr="00DF4DBE" w:rsidRDefault="00DF4DBE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DBE" w:rsidRPr="00DF4DBE" w:rsidRDefault="00DF4DBE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DBE" w:rsidRPr="00DF4DBE" w:rsidRDefault="00DF4DBE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DBE" w:rsidRPr="00DF4DBE" w:rsidRDefault="00DF4DBE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4DBE" w:rsidRPr="00DF4DBE" w:rsidRDefault="00DF4DBE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DF4DBE" w:rsidRPr="00DF4DBE" w:rsidTr="00DF4DBE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BE" w:rsidRPr="00DF4DBE" w:rsidRDefault="00DF4DBE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Liquidez Reduzida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DBE" w:rsidRPr="00DF4DBE" w:rsidRDefault="00DF4DBE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0,51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DBE" w:rsidRPr="00DF4DBE" w:rsidRDefault="00DF4DBE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0,42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DBE" w:rsidRPr="00DF4DBE" w:rsidRDefault="00DF4DBE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0,41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4DBE" w:rsidRPr="00DF4DBE" w:rsidRDefault="00DF4DBE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0,26</w:t>
            </w:r>
          </w:p>
        </w:tc>
      </w:tr>
    </w:tbl>
    <w:p w:rsidR="00DF4DBE" w:rsidRDefault="00DF4DBE" w:rsidP="00167DE9">
      <w:pPr>
        <w:spacing w:line="360" w:lineRule="auto"/>
        <w:jc w:val="both"/>
      </w:pPr>
    </w:p>
    <w:p w:rsidR="00DF4DBE" w:rsidRPr="00A56EAC" w:rsidRDefault="00DF4DBE" w:rsidP="00A56EAC">
      <w:pPr>
        <w:pStyle w:val="Corpodetexto"/>
        <w:spacing w:after="0" w:line="360" w:lineRule="auto"/>
        <w:ind w:firstLine="709"/>
        <w:jc w:val="both"/>
      </w:pPr>
      <w:r w:rsidRPr="00A56EAC">
        <w:t>Verifica-se um aumento ao longo dos anos o que indica que os Inventários têm vindo a aumentar.</w:t>
      </w:r>
    </w:p>
    <w:p w:rsidR="00627EFF" w:rsidRDefault="00DF4DBE" w:rsidP="00D57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EAC">
        <w:rPr>
          <w:rFonts w:ascii="Times New Roman" w:hAnsi="Times New Roman" w:cs="Times New Roman"/>
          <w:sz w:val="24"/>
          <w:szCs w:val="24"/>
        </w:rPr>
        <w:t>Como os Valores apurados são inferiores a 1 significa que o que a empresa transforma em dinheiro não é suficiente para liquidar o exigível de curto prazo. Muito embora a empresa continue em actividade.</w:t>
      </w:r>
    </w:p>
    <w:p w:rsidR="00D57DEB" w:rsidRPr="00D57DEB" w:rsidRDefault="00D57DEB" w:rsidP="00D57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4DBE" w:rsidRPr="00A56EAC" w:rsidRDefault="00B85C3A" w:rsidP="00D57DEB">
      <w:pPr>
        <w:pStyle w:val="Ttulo4"/>
      </w:pPr>
      <w:r>
        <w:t>2</w:t>
      </w:r>
      <w:r w:rsidR="0058181A">
        <w:t>.1.1.3-</w:t>
      </w:r>
      <w:r w:rsidR="00DF4DBE" w:rsidRPr="00A56EAC">
        <w:t>Liquidez Imediata</w:t>
      </w:r>
    </w:p>
    <w:p w:rsidR="00DF4DBE" w:rsidRPr="00DF4DBE" w:rsidRDefault="00DF4DBE" w:rsidP="00DF4DBE">
      <w:pPr>
        <w:spacing w:line="360" w:lineRule="auto"/>
        <w:jc w:val="both"/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 w:eastAsia="Times New Roman"/>
            </w:rPr>
            <m:t>Liquidez Imediata=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/>
                </w:rPr>
                <m:t>Disponibilidades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Passivo de Curto Prazo</m:t>
              </m:r>
            </m:den>
          </m:f>
        </m:oMath>
      </m:oMathPara>
    </w:p>
    <w:p w:rsidR="0094439B" w:rsidRDefault="00DF4DBE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Indica-nos em que grau as disponibilidades cobrem o passivo Corrente. Normalmente este rácio apresenta valores baixos, nomeadamente 1 ou menos.</w:t>
      </w:r>
    </w:p>
    <w:p w:rsidR="00627EFF" w:rsidRPr="00627EFF" w:rsidRDefault="00627EFF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050EF6" w:rsidRPr="00DF4DBE" w:rsidTr="00050EF6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0EF6" w:rsidRPr="00050EF6" w:rsidRDefault="00050EF6" w:rsidP="00050E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50EF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EF6" w:rsidRPr="00050EF6" w:rsidRDefault="00050EF6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50EF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EF6" w:rsidRPr="00050EF6" w:rsidRDefault="00050EF6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50EF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EF6" w:rsidRPr="00050EF6" w:rsidRDefault="00050EF6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50EF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EF6" w:rsidRPr="00050EF6" w:rsidRDefault="00050EF6" w:rsidP="00DF4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50EF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050EF6" w:rsidRPr="00DF4DBE" w:rsidTr="00050EF6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EF6" w:rsidRPr="00050EF6" w:rsidRDefault="00050EF6" w:rsidP="00050E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50EF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Liquidez Imediata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EF6" w:rsidRPr="00DF4DBE" w:rsidRDefault="00050EF6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0,05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EF6" w:rsidRPr="00DF4DBE" w:rsidRDefault="00050EF6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0,01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EF6" w:rsidRPr="00DF4DBE" w:rsidRDefault="00050EF6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0,02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0EF6" w:rsidRPr="00DF4DBE" w:rsidRDefault="00050EF6" w:rsidP="00DF4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DF4DBE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0,02</w:t>
            </w:r>
          </w:p>
        </w:tc>
      </w:tr>
    </w:tbl>
    <w:p w:rsidR="00DF4DBE" w:rsidRDefault="00DF4DBE" w:rsidP="0094439B">
      <w:pPr>
        <w:spacing w:line="360" w:lineRule="auto"/>
        <w:jc w:val="both"/>
        <w:rPr>
          <w:b/>
          <w:color w:val="7030A0"/>
        </w:rPr>
      </w:pPr>
    </w:p>
    <w:p w:rsidR="006678AA" w:rsidRDefault="00050EF6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</w:t>
      </w:r>
      <w:proofErr w:type="spellStart"/>
      <w:r w:rsidRPr="00627EFF">
        <w:rPr>
          <w:rFonts w:ascii="Times New Roman" w:hAnsi="Times New Roman" w:cs="Times New Roman"/>
          <w:color w:val="000000" w:themeColor="text1"/>
          <w:sz w:val="24"/>
          <w:szCs w:val="24"/>
        </w:rPr>
        <w:t>Compta</w:t>
      </w:r>
      <w:proofErr w:type="spellEnd"/>
      <w:r w:rsidRPr="0062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Liquidez Imediata é inferior em todos os anos, o que significa que o passivo Corrente é coberto pelas Disponibilidades (Caixa e Banco).</w:t>
      </w:r>
    </w:p>
    <w:p w:rsidR="00627EFF" w:rsidRDefault="00627EFF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7DEB" w:rsidRDefault="00D57DEB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7DEB" w:rsidRDefault="00D57DEB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7DEB" w:rsidRPr="00627EFF" w:rsidRDefault="00D57DEB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50EF6" w:rsidRPr="006678AA" w:rsidRDefault="00050EF6" w:rsidP="00050EF6">
      <w:pPr>
        <w:pStyle w:val="PargrafodaLista"/>
        <w:numPr>
          <w:ilvl w:val="0"/>
          <w:numId w:val="9"/>
        </w:numPr>
        <w:spacing w:line="360" w:lineRule="auto"/>
        <w:jc w:val="both"/>
        <w:rPr>
          <w:b/>
          <w:color w:val="000000" w:themeColor="text1"/>
        </w:rPr>
      </w:pPr>
      <w:r w:rsidRPr="006678AA">
        <w:rPr>
          <w:b/>
          <w:color w:val="000000" w:themeColor="text1"/>
        </w:rPr>
        <w:t>Representação Gráfica da Liquidez Geral, Reduzida e Imediata</w:t>
      </w:r>
    </w:p>
    <w:p w:rsidR="00050EF6" w:rsidRPr="00050EF6" w:rsidRDefault="00050EF6" w:rsidP="006678AA">
      <w:pPr>
        <w:spacing w:line="360" w:lineRule="auto"/>
        <w:ind w:left="360"/>
        <w:jc w:val="center"/>
        <w:rPr>
          <w:color w:val="000000" w:themeColor="text1"/>
        </w:rPr>
      </w:pPr>
      <w:r>
        <w:rPr>
          <w:noProof/>
          <w:color w:val="000000" w:themeColor="text1"/>
          <w:lang w:eastAsia="pt-PT"/>
        </w:rPr>
        <w:drawing>
          <wp:inline distT="0" distB="0" distL="0" distR="0">
            <wp:extent cx="4529096" cy="2393343"/>
            <wp:effectExtent l="19050" t="0" r="23854" b="6957"/>
            <wp:docPr id="12" name="Gráfico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27EFF" w:rsidRPr="00D57DEB" w:rsidRDefault="006678AA" w:rsidP="00D57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Com a análise deste gráfico podemos concluir que nos últimos três anos a liquidez na empresa, tem vindo a registar uma queda ao longo dos anos em estudo, ou seja a empresa tem sentido dificuldades para solver os seus compromissos a curto prazo.</w:t>
      </w:r>
    </w:p>
    <w:p w:rsidR="00627EFF" w:rsidRDefault="00627EFF" w:rsidP="00DB65C5">
      <w:pPr>
        <w:rPr>
          <w:b/>
          <w:color w:val="7030A0"/>
        </w:rPr>
      </w:pPr>
    </w:p>
    <w:p w:rsidR="006678AA" w:rsidRPr="00627EFF" w:rsidRDefault="00B85C3A" w:rsidP="00D57DEB">
      <w:pPr>
        <w:pStyle w:val="Ttulo2"/>
      </w:pPr>
      <w:bookmarkStart w:id="26" w:name="_Toc280108804"/>
      <w:r>
        <w:t>2</w:t>
      </w:r>
      <w:r w:rsidR="0058181A">
        <w:t>.2-</w:t>
      </w:r>
      <w:r w:rsidR="006678AA" w:rsidRPr="00627EFF">
        <w:t>Óptica Funcional ou Moderna</w:t>
      </w:r>
      <w:bookmarkEnd w:id="26"/>
    </w:p>
    <w:p w:rsidR="00627EFF" w:rsidRDefault="00627EFF" w:rsidP="00DB65C5">
      <w:pPr>
        <w:rPr>
          <w:b/>
          <w:color w:val="7030A0"/>
        </w:rPr>
      </w:pPr>
    </w:p>
    <w:p w:rsidR="006678AA" w:rsidRDefault="00B85C3A" w:rsidP="00D57DEB">
      <w:pPr>
        <w:pStyle w:val="Ttulo3"/>
      </w:pPr>
      <w:bookmarkStart w:id="27" w:name="_Toc280108805"/>
      <w:r>
        <w:t>2</w:t>
      </w:r>
      <w:r w:rsidR="0058181A">
        <w:t>.2.1-</w:t>
      </w:r>
      <w:r w:rsidR="006678AA" w:rsidRPr="00627EFF">
        <w:t>Fundo de Maneio</w:t>
      </w:r>
      <w:bookmarkEnd w:id="27"/>
    </w:p>
    <w:p w:rsidR="00D57DEB" w:rsidRPr="00D57DEB" w:rsidRDefault="00D57DEB" w:rsidP="00D57DEB"/>
    <w:p w:rsidR="006678AA" w:rsidRPr="00627EFF" w:rsidRDefault="006678AA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É a</w:t>
      </w:r>
      <w:r w:rsidRPr="00627EFF">
        <w:rPr>
          <w:rFonts w:ascii="Times New Roman" w:hAnsi="Times New Roman" w:cs="Times New Roman"/>
          <w:color w:val="000000"/>
          <w:sz w:val="24"/>
          <w:szCs w:val="24"/>
        </w:rPr>
        <w:t xml:space="preserve"> parte excedente do activo Corrente que cobre o passivo Corrente, ou seja, a parte dos activos fáceis de liquidar que cobre os passivos que exigem liquidação a curto prazo. É necessária a existência de um fundo de maneio, uma margem de segurança, para evitar rupturas de tesouraria</w:t>
      </w:r>
    </w:p>
    <w:p w:rsidR="00627EFF" w:rsidRDefault="00627EFF" w:rsidP="00DB65C5">
      <w:pPr>
        <w:rPr>
          <w:color w:val="000000" w:themeColor="text1"/>
        </w:rPr>
      </w:pPr>
    </w:p>
    <w:p w:rsidR="006678AA" w:rsidRDefault="006678AA" w:rsidP="00DB65C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7EFF">
        <w:rPr>
          <w:rFonts w:ascii="Times New Roman" w:hAnsi="Times New Roman" w:cs="Times New Roman"/>
          <w:color w:val="000000" w:themeColor="text1"/>
          <w:sz w:val="24"/>
          <w:szCs w:val="24"/>
        </w:rPr>
        <w:t>Fundo Maneio = Activo Corrente - Passivo Corrente</w:t>
      </w:r>
    </w:p>
    <w:p w:rsidR="00627EFF" w:rsidRPr="00627EFF" w:rsidRDefault="00627EFF" w:rsidP="00DB65C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6678AA" w:rsidRPr="006678AA" w:rsidTr="006678AA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:rsidR="006678AA" w:rsidRPr="006678AA" w:rsidRDefault="006678AA" w:rsidP="006678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6678AA" w:rsidRPr="006678AA" w:rsidTr="006678AA">
        <w:trPr>
          <w:trHeight w:val="3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Fundo Maneio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800.529,00 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-876.801,00 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1.570.222,00 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241.356,00  </w:t>
            </w:r>
          </w:p>
        </w:tc>
      </w:tr>
    </w:tbl>
    <w:p w:rsidR="006678AA" w:rsidRDefault="006678AA" w:rsidP="006678AA">
      <w:pPr>
        <w:rPr>
          <w:color w:val="000000" w:themeColor="text1"/>
        </w:rPr>
      </w:pPr>
    </w:p>
    <w:p w:rsidR="006678AA" w:rsidRPr="00627EFF" w:rsidRDefault="006678AA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7EFF">
        <w:rPr>
          <w:rFonts w:ascii="Times New Roman" w:hAnsi="Times New Roman" w:cs="Times New Roman"/>
          <w:color w:val="000000"/>
          <w:sz w:val="24"/>
          <w:szCs w:val="24"/>
        </w:rPr>
        <w:t xml:space="preserve">O fundo de maneio deveria ser superior a zero, para se poder afirmar que os capitais permanentes suportaram na totalidade o activo, o que na tabela só não se </w:t>
      </w:r>
      <w:r w:rsidRPr="00627EFF">
        <w:rPr>
          <w:rFonts w:ascii="Times New Roman" w:hAnsi="Times New Roman" w:cs="Times New Roman"/>
          <w:color w:val="000000"/>
          <w:sz w:val="24"/>
          <w:szCs w:val="24"/>
        </w:rPr>
        <w:lastRenderedPageBreak/>
        <w:t>verifica no ano de 2008, ou seja nos restantes anos o Capital suportou a Totalidade do Activo.</w:t>
      </w:r>
    </w:p>
    <w:p w:rsidR="00627EFF" w:rsidRDefault="00627EFF" w:rsidP="00627EFF">
      <w:pPr>
        <w:spacing w:after="0" w:line="36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6678AA" w:rsidRPr="00627EFF" w:rsidRDefault="00B85C3A" w:rsidP="00D57DEB">
      <w:pPr>
        <w:pStyle w:val="Ttulo2"/>
      </w:pPr>
      <w:bookmarkStart w:id="28" w:name="_Toc280108806"/>
      <w:r>
        <w:t>2</w:t>
      </w:r>
      <w:r w:rsidR="0058181A">
        <w:t>.3-</w:t>
      </w:r>
      <w:r w:rsidR="006678AA" w:rsidRPr="00627EFF">
        <w:t>Estrutura do Capital</w:t>
      </w:r>
      <w:bookmarkEnd w:id="28"/>
    </w:p>
    <w:p w:rsidR="006678AA" w:rsidRPr="00627EFF" w:rsidRDefault="006678AA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Esta análise permite-nos saber se a empresa está bem financeiramente a médio e longo prazo.</w:t>
      </w:r>
    </w:p>
    <w:p w:rsidR="006678AA" w:rsidRPr="00627EFF" w:rsidRDefault="006678AA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O conjunto de rácios que se seguem procuram complementar a apreensão da situação financeira a partir do confronto com outras massas de capitais constantes no balanço.</w:t>
      </w:r>
    </w:p>
    <w:p w:rsidR="00157484" w:rsidRDefault="00157484" w:rsidP="006678AA"/>
    <w:p w:rsidR="00157484" w:rsidRDefault="00157484" w:rsidP="006678AA">
      <m:oMathPara>
        <m:oMath>
          <m:r>
            <m:rPr>
              <m:sty m:val="p"/>
            </m:rPr>
            <w:rPr>
              <w:rFonts w:ascii="Cambria Math"/>
            </w:rPr>
            <m:t>Autonomia Financeira=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Total do Capital Pr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ó</m:t>
              </m:r>
              <m:r>
                <m:rPr>
                  <m:sty m:val="p"/>
                </m:rPr>
                <w:rPr>
                  <w:rFonts w:ascii="Cambria Math"/>
                </w:rPr>
                <m:t>prio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Total do Activo</m:t>
              </m:r>
            </m:den>
          </m:f>
        </m:oMath>
      </m:oMathPara>
    </w:p>
    <w:p w:rsidR="00157484" w:rsidRDefault="00157484" w:rsidP="006678AA"/>
    <w:p w:rsidR="00627EFF" w:rsidRDefault="00157484" w:rsidP="00627EFF">
      <w:pPr>
        <w:pStyle w:val="Corpodetexto"/>
        <w:spacing w:after="0" w:line="360" w:lineRule="auto"/>
        <w:ind w:firstLine="709"/>
        <w:jc w:val="both"/>
      </w:pPr>
      <w:r w:rsidRPr="00DB180B">
        <w:t xml:space="preserve">Este rácio exprime em que medida o Activo Fixo está a ser financiado por Capitais Próprios e por Capitais Alheios, ou seja, pelo esforço financeiro dos accionistas e dos credores. Este indicador varia entre 0 e 1. </w:t>
      </w:r>
      <w:r>
        <w:t>Zero</w:t>
      </w:r>
      <w:r w:rsidRPr="00DB180B">
        <w:t xml:space="preserve"> significa total dependência de terceiros</w:t>
      </w:r>
      <w:r>
        <w:t xml:space="preserve"> e</w:t>
      </w:r>
      <w:r w:rsidRPr="00DB180B">
        <w:t xml:space="preserve"> um é a autonomia total, a empresa não recorre a qualquer capital alheio</w:t>
      </w:r>
      <w:r w:rsidR="006678AA" w:rsidRPr="009E1EB9">
        <w:t>.</w:t>
      </w:r>
    </w:p>
    <w:p w:rsidR="00157484" w:rsidRDefault="00157484" w:rsidP="00627EFF">
      <w:pPr>
        <w:pStyle w:val="Corpodetexto"/>
        <w:spacing w:after="0" w:line="360" w:lineRule="auto"/>
        <w:ind w:firstLine="709"/>
        <w:jc w:val="both"/>
      </w:pPr>
      <w:r w:rsidRPr="00DB180B">
        <w:t>Normalmente, considera-se um bom valor superior a 1/3. Um valor inferior significa uma excessiva dependência de capitais alheios</w:t>
      </w:r>
      <w:r>
        <w:t>.</w:t>
      </w:r>
    </w:p>
    <w:p w:rsidR="00627EFF" w:rsidRDefault="00627EFF" w:rsidP="00627EFF">
      <w:pPr>
        <w:pStyle w:val="Corpodetexto"/>
        <w:spacing w:after="0" w:line="360" w:lineRule="auto"/>
        <w:ind w:firstLine="709"/>
        <w:jc w:val="both"/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6678AA" w:rsidRPr="006678AA" w:rsidTr="006678AA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78AA" w:rsidRPr="006678AA" w:rsidRDefault="006678AA" w:rsidP="006678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8AA" w:rsidRPr="006678AA" w:rsidRDefault="006678AA" w:rsidP="006678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6678AA" w:rsidRPr="006678AA" w:rsidTr="006678AA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AA" w:rsidRPr="006678AA" w:rsidRDefault="006678AA" w:rsidP="006678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Autonomia Financeira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8AA" w:rsidRPr="006678AA" w:rsidRDefault="006678AA" w:rsidP="006678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2,03%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8AA" w:rsidRPr="006678AA" w:rsidRDefault="006678AA" w:rsidP="006678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-4,38%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8AA" w:rsidRPr="006678AA" w:rsidRDefault="006678AA" w:rsidP="006678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-44,35%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8AA" w:rsidRPr="006678AA" w:rsidRDefault="006678AA" w:rsidP="006678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678AA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-58,42%</w:t>
            </w:r>
          </w:p>
        </w:tc>
      </w:tr>
    </w:tbl>
    <w:p w:rsidR="006678AA" w:rsidRDefault="006678AA" w:rsidP="006678AA">
      <w:pPr>
        <w:pStyle w:val="Corpodetexto2"/>
        <w:spacing w:line="360" w:lineRule="auto"/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</w:pPr>
    </w:p>
    <w:p w:rsidR="006678AA" w:rsidRDefault="006678AA" w:rsidP="00627EFF">
      <w:pPr>
        <w:pStyle w:val="Corpodetexto2"/>
        <w:spacing w:after="0" w:line="360" w:lineRule="auto"/>
        <w:ind w:firstLine="709"/>
        <w:jc w:val="both"/>
      </w:pPr>
      <w:r w:rsidRPr="00627EFF">
        <w:rPr>
          <w:rFonts w:eastAsiaTheme="minorHAnsi"/>
          <w:bCs/>
          <w:lang w:eastAsia="en-US"/>
        </w:rPr>
        <w:t>A</w:t>
      </w:r>
      <w:r w:rsidRPr="00627EFF">
        <w:t xml:space="preserve"> empresa não teve capacidade para financiar os capitais, pois apresenta valores negativos, evidenciando assim uma forte dependência financeira, excepto no ano de 2009.</w:t>
      </w:r>
    </w:p>
    <w:p w:rsidR="00627EFF" w:rsidRPr="00627EFF" w:rsidRDefault="00627EFF" w:rsidP="00627EFF">
      <w:pPr>
        <w:pStyle w:val="Corpodetexto2"/>
        <w:spacing w:after="0" w:line="360" w:lineRule="auto"/>
        <w:ind w:firstLine="709"/>
        <w:jc w:val="both"/>
      </w:pPr>
    </w:p>
    <w:p w:rsidR="00157484" w:rsidRDefault="00B85C3A" w:rsidP="00D57DEB">
      <w:pPr>
        <w:pStyle w:val="Ttulo3"/>
      </w:pPr>
      <w:bookmarkStart w:id="29" w:name="_Toc280108807"/>
      <w:r>
        <w:t>2</w:t>
      </w:r>
      <w:r w:rsidR="0058181A">
        <w:t>.3.1-</w:t>
      </w:r>
      <w:r w:rsidR="00157484" w:rsidRPr="00157484">
        <w:t>Endividamento</w:t>
      </w:r>
      <w:bookmarkEnd w:id="29"/>
    </w:p>
    <w:p w:rsidR="00157484" w:rsidRDefault="00157484" w:rsidP="006678AA">
      <w:pPr>
        <w:pStyle w:val="Corpodetexto2"/>
        <w:spacing w:line="360" w:lineRule="auto"/>
      </w:pPr>
      <m:oMathPara>
        <m:oMath>
          <m:r>
            <m:rPr>
              <m:sty m:val="p"/>
            </m:rPr>
            <w:rPr>
              <w:rFonts w:ascii="Cambria Math"/>
            </w:rPr>
            <m:t>Endividamento=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Total do Passivo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Total do Activo</m:t>
              </m:r>
            </m:den>
          </m:f>
          <m:r>
            <m:rPr>
              <m:sty m:val="p"/>
            </m:rPr>
            <w:rPr>
              <w:rFonts w:ascii="Cambria Math"/>
            </w:rPr>
            <m:t xml:space="preserve"> </m:t>
          </m:r>
        </m:oMath>
      </m:oMathPara>
    </w:p>
    <w:p w:rsidR="00627EFF" w:rsidRPr="00157484" w:rsidRDefault="00627EFF" w:rsidP="006678AA">
      <w:pPr>
        <w:pStyle w:val="Corpodetexto2"/>
        <w:spacing w:line="360" w:lineRule="auto"/>
        <w:rPr>
          <w:b/>
          <w:color w:val="7030A0"/>
        </w:rPr>
      </w:pPr>
    </w:p>
    <w:p w:rsidR="006678AA" w:rsidRDefault="00157484" w:rsidP="00627EFF">
      <w:pPr>
        <w:spacing w:after="0" w:line="360" w:lineRule="auto"/>
        <w:ind w:firstLine="709"/>
        <w:jc w:val="both"/>
        <w:rPr>
          <w:color w:val="000000" w:themeColor="text1"/>
        </w:rPr>
      </w:pPr>
      <w:r w:rsidRPr="00627EFF">
        <w:rPr>
          <w:rFonts w:ascii="Times New Roman" w:hAnsi="Times New Roman" w:cs="Times New Roman"/>
          <w:sz w:val="24"/>
          <w:szCs w:val="24"/>
        </w:rPr>
        <w:lastRenderedPageBreak/>
        <w:t xml:space="preserve">Trata-se de um indicador que complementa o anterior, pois a soma entre estes dois rácios é igual a 1, pelo que o endividamento da empresa deve apresentar um valor inferior a 2/3, para </w:t>
      </w:r>
      <w:r w:rsidRPr="00627EFF">
        <w:rPr>
          <w:rFonts w:ascii="Times New Roman" w:hAnsi="Times New Roman" w:cs="Times New Roman"/>
          <w:color w:val="000000" w:themeColor="text1"/>
          <w:sz w:val="24"/>
          <w:szCs w:val="24"/>
        </w:rPr>
        <w:t>serem considerados bons</w:t>
      </w:r>
      <w:r>
        <w:rPr>
          <w:color w:val="000000" w:themeColor="text1"/>
        </w:rPr>
        <w:t>.</w:t>
      </w:r>
    </w:p>
    <w:p w:rsidR="00627EFF" w:rsidRDefault="00627EFF" w:rsidP="006678AA">
      <w:pPr>
        <w:rPr>
          <w:rFonts w:eastAsiaTheme="minorEastAsia"/>
        </w:rPr>
      </w:pPr>
    </w:p>
    <w:p w:rsidR="00157484" w:rsidRDefault="00157484" w:rsidP="006678AA">
      <w:pPr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/>
            </w:rPr>
            <m:t>R</m:t>
          </m:r>
          <m:r>
            <m:rPr>
              <m:sty m:val="p"/>
            </m:rPr>
            <w:rPr>
              <w:rFonts w:ascii="Cambria Math"/>
            </w:rPr>
            <m:t>á</m:t>
          </m:r>
          <m:r>
            <m:rPr>
              <m:sty m:val="p"/>
            </m:rPr>
            <w:rPr>
              <w:rFonts w:ascii="Cambria Math"/>
            </w:rPr>
            <m:t>cio de autonomia+R</m:t>
          </m:r>
          <m:r>
            <m:rPr>
              <m:sty m:val="p"/>
            </m:rPr>
            <w:rPr>
              <w:rFonts w:ascii="Cambria Math"/>
            </w:rPr>
            <m:t>á</m:t>
          </m:r>
          <m:r>
            <m:rPr>
              <m:sty m:val="p"/>
            </m:rPr>
            <w:rPr>
              <w:rFonts w:ascii="Cambria Math"/>
            </w:rPr>
            <m:t xml:space="preserve">cio de endividamento=1 </m:t>
          </m:r>
        </m:oMath>
      </m:oMathPara>
    </w:p>
    <w:p w:rsidR="00157484" w:rsidRPr="00157484" w:rsidRDefault="00157484" w:rsidP="00157484">
      <w:pPr>
        <w:tabs>
          <w:tab w:val="left" w:pos="2342"/>
        </w:tabs>
      </w:pPr>
      <w:r>
        <w:tab/>
      </w: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157484" w:rsidRPr="00157484" w:rsidTr="00157484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7484" w:rsidRPr="00157484" w:rsidRDefault="00157484" w:rsidP="001574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7484" w:rsidRPr="00157484" w:rsidRDefault="00157484" w:rsidP="001574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7484" w:rsidRPr="00157484" w:rsidRDefault="00157484" w:rsidP="001574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7484" w:rsidRPr="00157484" w:rsidRDefault="00157484" w:rsidP="001574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484" w:rsidRPr="00157484" w:rsidRDefault="00157484" w:rsidP="001574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157484" w:rsidRPr="00157484" w:rsidTr="00157484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484" w:rsidRPr="00157484" w:rsidRDefault="00157484" w:rsidP="001574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Endividamento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484" w:rsidRPr="00157484" w:rsidRDefault="00157484" w:rsidP="001574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97,97%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484" w:rsidRPr="00157484" w:rsidRDefault="00157484" w:rsidP="001574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104,38%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484" w:rsidRPr="00157484" w:rsidRDefault="00157484" w:rsidP="001574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144,35%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7484" w:rsidRPr="00157484" w:rsidRDefault="00157484" w:rsidP="001574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57484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158,42%</w:t>
            </w:r>
          </w:p>
        </w:tc>
      </w:tr>
    </w:tbl>
    <w:p w:rsidR="00157484" w:rsidRPr="00627EFF" w:rsidRDefault="00157484" w:rsidP="00627EFF">
      <w:pPr>
        <w:tabs>
          <w:tab w:val="left" w:pos="2342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27EFF" w:rsidRPr="00D57DEB" w:rsidRDefault="00157484" w:rsidP="00D57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Verificamos que o endividamento diminui ao longo dos quatro anos. Contudo os valores obtidos neste indicador não são os melhores, pois não são iguais ou infer</w:t>
      </w:r>
      <w:r w:rsidR="00D57DEB">
        <w:rPr>
          <w:rFonts w:ascii="Times New Roman" w:hAnsi="Times New Roman" w:cs="Times New Roman"/>
          <w:sz w:val="24"/>
          <w:szCs w:val="24"/>
        </w:rPr>
        <w:t>iores ao valor considerado bom.</w:t>
      </w:r>
    </w:p>
    <w:p w:rsidR="00627EFF" w:rsidRDefault="00627EFF" w:rsidP="00D57DEB">
      <w:pPr>
        <w:spacing w:line="360" w:lineRule="auto"/>
        <w:jc w:val="both"/>
      </w:pPr>
    </w:p>
    <w:p w:rsidR="00157484" w:rsidRPr="00C805E9" w:rsidRDefault="00157484" w:rsidP="00157484">
      <w:pPr>
        <w:numPr>
          <w:ilvl w:val="0"/>
          <w:numId w:val="9"/>
        </w:numPr>
        <w:spacing w:after="0" w:line="360" w:lineRule="auto"/>
        <w:rPr>
          <w:b/>
        </w:rPr>
      </w:pPr>
      <w:r w:rsidRPr="00C805E9">
        <w:rPr>
          <w:b/>
        </w:rPr>
        <w:t>Representação do rácio de autonomia financeira em conjunto com o rácio de endividamento</w:t>
      </w:r>
    </w:p>
    <w:p w:rsidR="00157484" w:rsidRPr="00F5109C" w:rsidRDefault="00157484" w:rsidP="00157484">
      <w:pPr>
        <w:pStyle w:val="PargrafodaLista"/>
        <w:spacing w:line="360" w:lineRule="auto"/>
        <w:jc w:val="both"/>
      </w:pPr>
      <w:r>
        <w:rPr>
          <w:noProof/>
          <w:lang w:eastAsia="pt-PT"/>
        </w:rPr>
        <w:drawing>
          <wp:inline distT="0" distB="0" distL="0" distR="0">
            <wp:extent cx="4767635" cy="2345635"/>
            <wp:effectExtent l="19050" t="0" r="13915" b="0"/>
            <wp:docPr id="13" name="Gráfico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157484" w:rsidRPr="00627EFF" w:rsidRDefault="00B85C3A" w:rsidP="00D57DEB">
      <w:pPr>
        <w:pStyle w:val="Ttulo3"/>
      </w:pPr>
      <w:bookmarkStart w:id="30" w:name="_Toc280108808"/>
      <w:r>
        <w:t>2</w:t>
      </w:r>
      <w:r w:rsidR="0058181A">
        <w:t>.3.2-</w:t>
      </w:r>
      <w:r w:rsidR="00606939" w:rsidRPr="00627EFF">
        <w:t>Grau de Endividamento</w:t>
      </w:r>
      <w:bookmarkEnd w:id="30"/>
    </w:p>
    <w:p w:rsidR="00606939" w:rsidRDefault="00606939" w:rsidP="00157484">
      <w:pPr>
        <w:tabs>
          <w:tab w:val="left" w:pos="2342"/>
        </w:tabs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/>
            </w:rPr>
            <m:t>Taxa de Endividamento=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Total do Passivo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Total do Capital Pr</m:t>
              </m:r>
              <m:r>
                <m:rPr>
                  <m:sty m:val="p"/>
                </m:rPr>
                <w:rPr>
                  <w:rFonts w:ascii="Cambria Math"/>
                </w:rPr>
                <m:t>ó</m:t>
              </m:r>
              <m:r>
                <m:rPr>
                  <m:sty m:val="p"/>
                </m:rPr>
                <w:rPr>
                  <w:rFonts w:ascii="Cambria Math"/>
                </w:rPr>
                <m:t>prio</m:t>
              </m:r>
            </m:den>
          </m:f>
          <m:r>
            <m:rPr>
              <m:sty m:val="p"/>
            </m:rPr>
            <w:rPr>
              <w:rFonts w:ascii="Cambria Math"/>
            </w:rPr>
            <m:t xml:space="preserve"> </m:t>
          </m:r>
        </m:oMath>
      </m:oMathPara>
    </w:p>
    <w:p w:rsidR="00627EFF" w:rsidRDefault="00627EFF" w:rsidP="00157484">
      <w:pPr>
        <w:tabs>
          <w:tab w:val="left" w:pos="2342"/>
        </w:tabs>
        <w:rPr>
          <w:b/>
          <w:color w:val="7030A0"/>
        </w:rPr>
      </w:pPr>
    </w:p>
    <w:p w:rsidR="00606939" w:rsidRDefault="00606939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Quanto maior é o valor do rácio, menor é a segurança financeira da empresa, ou seja, menor é a capacidade para superar perdas inesperadas e maior é a dependência em relação a terceiros.</w:t>
      </w:r>
    </w:p>
    <w:p w:rsidR="00627EFF" w:rsidRPr="00627EFF" w:rsidRDefault="00627EFF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606939" w:rsidRPr="00606939" w:rsidTr="00606939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6939" w:rsidRPr="00606939" w:rsidRDefault="00606939" w:rsidP="006069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6939" w:rsidRPr="00606939" w:rsidRDefault="00606939" w:rsidP="006069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6939" w:rsidRPr="00606939" w:rsidRDefault="00606939" w:rsidP="006069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6939" w:rsidRPr="00606939" w:rsidRDefault="00606939" w:rsidP="006069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6939" w:rsidRPr="00606939" w:rsidRDefault="00606939" w:rsidP="006069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606939" w:rsidRPr="00606939" w:rsidTr="00606939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939" w:rsidRPr="00606939" w:rsidRDefault="00606939" w:rsidP="006069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Grau de Endividamento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39" w:rsidRPr="00606939" w:rsidRDefault="00606939" w:rsidP="006069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48,28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39" w:rsidRPr="00606939" w:rsidRDefault="00606939" w:rsidP="006069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-23,83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39" w:rsidRPr="00606939" w:rsidRDefault="00606939" w:rsidP="006069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-3,25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939" w:rsidRPr="00606939" w:rsidRDefault="00606939" w:rsidP="006069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606939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-2,71 </w:t>
            </w:r>
          </w:p>
        </w:tc>
      </w:tr>
    </w:tbl>
    <w:p w:rsidR="00606939" w:rsidRDefault="00606939" w:rsidP="00606939">
      <w:pPr>
        <w:spacing w:line="360" w:lineRule="auto"/>
        <w:ind w:firstLine="709"/>
        <w:jc w:val="both"/>
      </w:pPr>
    </w:p>
    <w:p w:rsidR="00606939" w:rsidRDefault="00606939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 xml:space="preserve">Verificamos que o grau de endividamento tem vindo a aumentar nestes últimos quatro anos o que nos indica que a dependência da empresa é cada vez maior em relação a terceiros. </w:t>
      </w:r>
    </w:p>
    <w:p w:rsidR="00627EFF" w:rsidRPr="00627EFF" w:rsidRDefault="00627EFF" w:rsidP="00D57D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939" w:rsidRDefault="00B85C3A" w:rsidP="00D57DEB">
      <w:pPr>
        <w:pStyle w:val="Ttulo3"/>
      </w:pPr>
      <w:bookmarkStart w:id="31" w:name="_Toc280108809"/>
      <w:r>
        <w:t>2</w:t>
      </w:r>
      <w:r w:rsidR="0058181A">
        <w:t>.3.3-</w:t>
      </w:r>
      <w:r w:rsidR="00606939" w:rsidRPr="00627EFF">
        <w:t>Estrutura do Endividamento</w:t>
      </w:r>
      <w:bookmarkEnd w:id="31"/>
    </w:p>
    <w:p w:rsidR="00627EFF" w:rsidRPr="00627EFF" w:rsidRDefault="00627EFF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606939" w:rsidRDefault="00F23FFF" w:rsidP="00606939">
      <w:pPr>
        <w:spacing w:line="360" w:lineRule="auto"/>
        <w:ind w:firstLine="709"/>
        <w:jc w:val="both"/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/>
            </w:rPr>
            <m:t xml:space="preserve">Estrutura de Endividamento=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Passivo de Corrente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Total do Passivo</m:t>
              </m:r>
            </m:den>
          </m:f>
        </m:oMath>
      </m:oMathPara>
    </w:p>
    <w:p w:rsidR="00627EFF" w:rsidRPr="00606939" w:rsidRDefault="00627EFF" w:rsidP="00606939">
      <w:pPr>
        <w:spacing w:line="360" w:lineRule="auto"/>
        <w:ind w:firstLine="709"/>
        <w:jc w:val="both"/>
        <w:rPr>
          <w:b/>
          <w:color w:val="7030A0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F23FFF" w:rsidRPr="00F23FFF" w:rsidTr="00F23FFF">
        <w:trPr>
          <w:trHeight w:val="315"/>
          <w:jc w:val="center"/>
        </w:trPr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</w:tcPr>
          <w:p w:rsidR="00F23FFF" w:rsidRPr="00F23FFF" w:rsidRDefault="00F23FFF" w:rsidP="00F23F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FFF" w:rsidRPr="00F23FFF" w:rsidRDefault="00F23FFF" w:rsidP="00F23F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FFF" w:rsidRPr="00F23FFF" w:rsidRDefault="00F23FFF" w:rsidP="00F23F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FFF" w:rsidRPr="00F23FFF" w:rsidRDefault="00F23FFF" w:rsidP="00F23F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3FFF" w:rsidRPr="00F23FFF" w:rsidRDefault="00F23FFF" w:rsidP="00F23F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F23FFF" w:rsidRPr="00F23FFF" w:rsidTr="00F23FFF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FFF" w:rsidRPr="00F23FFF" w:rsidRDefault="00F23FFF" w:rsidP="00F23F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Estrutura do Endividamento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FFF" w:rsidRPr="00F23FFF" w:rsidRDefault="00F23FFF" w:rsidP="00F23F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98,96%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FFF" w:rsidRPr="00F23FFF" w:rsidRDefault="00F23FFF" w:rsidP="00F23F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99,12%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FFF" w:rsidRPr="00F23FFF" w:rsidRDefault="00F23FFF" w:rsidP="00F23F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65,14%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FFF" w:rsidRPr="00F23FFF" w:rsidRDefault="00F23FFF" w:rsidP="00F23F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F23FFF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>62,49%</w:t>
            </w:r>
          </w:p>
        </w:tc>
      </w:tr>
    </w:tbl>
    <w:p w:rsidR="00F23FFF" w:rsidRDefault="00F23FFF" w:rsidP="00F23FFF"/>
    <w:p w:rsidR="00F23FFF" w:rsidRPr="00627EFF" w:rsidRDefault="00F23FFF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 xml:space="preserve">Podemos verificar que houve uma diminuição de </w:t>
      </w:r>
      <w:r w:rsidR="00506256" w:rsidRPr="00627EFF">
        <w:rPr>
          <w:rFonts w:ascii="Times New Roman" w:hAnsi="Times New Roman" w:cs="Times New Roman"/>
          <w:sz w:val="24"/>
          <w:szCs w:val="24"/>
        </w:rPr>
        <w:t>0.16 de 2008, até aqui verificou-se um aumento, o aumento mais acentuado é de 2007 para 2008.</w:t>
      </w:r>
    </w:p>
    <w:p w:rsidR="00627EFF" w:rsidRDefault="00627EFF" w:rsidP="00627EFF">
      <w:pPr>
        <w:spacing w:after="0" w:line="36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506256" w:rsidRPr="00627EFF" w:rsidRDefault="00B85C3A" w:rsidP="00D57DEB">
      <w:pPr>
        <w:pStyle w:val="Ttulo3"/>
      </w:pPr>
      <w:bookmarkStart w:id="32" w:name="_Toc280108810"/>
      <w:r>
        <w:t>2</w:t>
      </w:r>
      <w:r w:rsidR="0058181A">
        <w:t>.3.4-</w:t>
      </w:r>
      <w:r w:rsidR="00506256" w:rsidRPr="00627EFF">
        <w:t>Solvabilidade</w:t>
      </w:r>
      <w:bookmarkEnd w:id="32"/>
    </w:p>
    <w:p w:rsidR="00506256" w:rsidRDefault="00506256" w:rsidP="00F23FFF">
      <w:pPr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/>
            </w:rPr>
            <m:t xml:space="preserve">Solvabilidade 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Capital Proprio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Total do Passivo</m:t>
              </m:r>
            </m:den>
          </m:f>
        </m:oMath>
      </m:oMathPara>
    </w:p>
    <w:p w:rsidR="00506256" w:rsidRDefault="00506256" w:rsidP="00506256"/>
    <w:p w:rsidR="00506256" w:rsidRPr="00627EFF" w:rsidRDefault="00506256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A solvabilidade expressa a informação da capacidade da empresa em solver os seus compromissos. Quanto maior for o indicador, melhor será a estrutura financeira da empresa.</w:t>
      </w:r>
    </w:p>
    <w:p w:rsidR="00506256" w:rsidRDefault="00506256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Os valores deste rácio devem manter-se entre os 0,5 e 1.</w:t>
      </w:r>
    </w:p>
    <w:p w:rsidR="00627EFF" w:rsidRPr="00627EFF" w:rsidRDefault="00627EFF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87" w:type="dxa"/>
        <w:jc w:val="right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506256" w:rsidRPr="00506256" w:rsidTr="00506256">
        <w:trPr>
          <w:trHeight w:val="315"/>
          <w:jc w:val="right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256" w:rsidRPr="00506256" w:rsidRDefault="00506256" w:rsidP="005062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6256" w:rsidRPr="00506256" w:rsidRDefault="00506256" w:rsidP="005062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6256" w:rsidRPr="00506256" w:rsidRDefault="00506256" w:rsidP="005062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6256" w:rsidRPr="00506256" w:rsidRDefault="00506256" w:rsidP="005062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6256" w:rsidRPr="00506256" w:rsidRDefault="00506256" w:rsidP="005062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506256" w:rsidRPr="00506256" w:rsidTr="00506256">
        <w:trPr>
          <w:trHeight w:val="640"/>
          <w:jc w:val="right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256" w:rsidRPr="00506256" w:rsidRDefault="00506256" w:rsidP="005062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Solvabilidade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Pr="00506256" w:rsidRDefault="00506256" w:rsidP="005062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0,02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Pr="00506256" w:rsidRDefault="00506256" w:rsidP="005062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-0,04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Pr="00506256" w:rsidRDefault="00506256" w:rsidP="005062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-0,31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6256" w:rsidRPr="00506256" w:rsidRDefault="00506256" w:rsidP="005062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506256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-0,37 </w:t>
            </w:r>
          </w:p>
        </w:tc>
      </w:tr>
    </w:tbl>
    <w:p w:rsidR="00506256" w:rsidRDefault="00506256" w:rsidP="00506256">
      <w:pPr>
        <w:spacing w:line="360" w:lineRule="auto"/>
        <w:ind w:firstLine="708"/>
        <w:jc w:val="both"/>
      </w:pPr>
    </w:p>
    <w:p w:rsidR="00506256" w:rsidRPr="00627EFF" w:rsidRDefault="00506256" w:rsidP="00627E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lastRenderedPageBreak/>
        <w:t>Através deste indicador podemos afirmar que a empresa apresenta um melhoramento aos longos destes anos.</w:t>
      </w:r>
    </w:p>
    <w:p w:rsidR="00627EFF" w:rsidRPr="00D57DEB" w:rsidRDefault="00506256" w:rsidP="00D57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7EFF">
        <w:rPr>
          <w:rFonts w:ascii="Times New Roman" w:hAnsi="Times New Roman" w:cs="Times New Roman"/>
          <w:sz w:val="24"/>
          <w:szCs w:val="24"/>
        </w:rPr>
        <w:t>A empresa está longe de ter uma boa capacidade em solver os seus compromissos. Os valores apresentados são abaixo dos valores recomendados, excepto 2009 que se encontra pe</w:t>
      </w:r>
      <w:r w:rsidR="00D57DEB">
        <w:rPr>
          <w:rFonts w:ascii="Times New Roman" w:hAnsi="Times New Roman" w:cs="Times New Roman"/>
          <w:sz w:val="24"/>
          <w:szCs w:val="24"/>
        </w:rPr>
        <w:t>rto do valor considerado óptimo.</w:t>
      </w:r>
    </w:p>
    <w:p w:rsidR="00627EFF" w:rsidRDefault="00627EFF" w:rsidP="00506256">
      <w:pPr>
        <w:spacing w:line="360" w:lineRule="auto"/>
        <w:ind w:firstLine="708"/>
        <w:jc w:val="both"/>
        <w:rPr>
          <w:b/>
          <w:color w:val="7030A0"/>
        </w:rPr>
      </w:pPr>
    </w:p>
    <w:p w:rsidR="00506256" w:rsidRPr="00627EFF" w:rsidRDefault="00B85C3A" w:rsidP="00D57DEB">
      <w:pPr>
        <w:pStyle w:val="Ttulo2"/>
      </w:pPr>
      <w:bookmarkStart w:id="33" w:name="_Toc280108811"/>
      <w:r>
        <w:t>2</w:t>
      </w:r>
      <w:r w:rsidR="0058181A">
        <w:t>.4-</w:t>
      </w:r>
      <w:r w:rsidR="002D7593" w:rsidRPr="00627EFF">
        <w:t>Rendibilidade Financeira</w:t>
      </w:r>
      <w:bookmarkEnd w:id="33"/>
    </w:p>
    <w:p w:rsidR="00627EFF" w:rsidRDefault="00627EFF" w:rsidP="00506256">
      <w:pPr>
        <w:spacing w:line="360" w:lineRule="auto"/>
        <w:ind w:firstLine="708"/>
        <w:jc w:val="both"/>
        <w:rPr>
          <w:b/>
          <w:color w:val="7030A0"/>
        </w:rPr>
      </w:pPr>
    </w:p>
    <w:p w:rsidR="002D7593" w:rsidRPr="00627EFF" w:rsidRDefault="00B85C3A" w:rsidP="00D57DEB">
      <w:pPr>
        <w:pStyle w:val="Ttulo3"/>
      </w:pPr>
      <w:bookmarkStart w:id="34" w:name="_Toc280108812"/>
      <w:r>
        <w:t>2</w:t>
      </w:r>
      <w:r w:rsidR="0058181A">
        <w:t>.4.1-</w:t>
      </w:r>
      <w:r w:rsidR="002D7593" w:rsidRPr="00627EFF">
        <w:t>Rendibilidade do Activo</w:t>
      </w:r>
      <w:bookmarkEnd w:id="34"/>
    </w:p>
    <w:p w:rsidR="002D7593" w:rsidRDefault="002D7593" w:rsidP="00506256">
      <w:pPr>
        <w:spacing w:line="360" w:lineRule="auto"/>
        <w:ind w:firstLine="708"/>
        <w:jc w:val="both"/>
        <w:rPr>
          <w:rFonts w:eastAsiaTheme="minorEastAsia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/>
            </w:rPr>
            <m:t xml:space="preserve">Rendibilidade do Activo=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RLE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Activo Total</m:t>
              </m:r>
            </m:den>
          </m:f>
        </m:oMath>
      </m:oMathPara>
    </w:p>
    <w:p w:rsidR="00771E85" w:rsidRPr="002D7593" w:rsidRDefault="00771E85" w:rsidP="00506256">
      <w:pPr>
        <w:spacing w:line="360" w:lineRule="auto"/>
        <w:ind w:firstLine="708"/>
        <w:jc w:val="both"/>
        <w:rPr>
          <w:b/>
          <w:color w:val="7030A0"/>
        </w:rPr>
      </w:pPr>
    </w:p>
    <w:p w:rsidR="002D7593" w:rsidRDefault="002D7593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t>Este rácio avalia o desempenho dos capitais totais investidos na empresa, independentemente de serem próprios ou alheios.</w:t>
      </w:r>
    </w:p>
    <w:p w:rsidR="00771E85" w:rsidRPr="00771E85" w:rsidRDefault="00771E85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2D7593" w:rsidRPr="002D7593" w:rsidTr="002D7593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7593" w:rsidRPr="002D7593" w:rsidRDefault="002D7593" w:rsidP="002D7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2D7593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2D7593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2D7593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2D7593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2D7593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2D7593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2D7593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2D7593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2D7593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C41A3D" w:rsidRPr="002D7593" w:rsidTr="002D7593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3D" w:rsidRPr="002D7593" w:rsidRDefault="00C41A3D" w:rsidP="002D7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2D7593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Rendibilidade do Activo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-0,86%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-2,18%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3,17%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-11,78%</w:t>
            </w:r>
          </w:p>
        </w:tc>
      </w:tr>
    </w:tbl>
    <w:p w:rsidR="002D7593" w:rsidRDefault="002D7593" w:rsidP="002D7593">
      <w:pPr>
        <w:pStyle w:val="Corpodetexto"/>
        <w:spacing w:line="360" w:lineRule="auto"/>
        <w:ind w:firstLine="709"/>
      </w:pPr>
    </w:p>
    <w:p w:rsidR="002D7593" w:rsidRDefault="002D7593" w:rsidP="00771E85">
      <w:pPr>
        <w:pStyle w:val="Corpodetexto"/>
        <w:spacing w:after="0" w:line="360" w:lineRule="auto"/>
        <w:ind w:firstLine="709"/>
        <w:jc w:val="both"/>
      </w:pPr>
      <w:r>
        <w:t>Podemos verificar que a empresa não teve um bom desempenho nos capitais investidos, logo podemos afirmar que a empresa está com problemas financeiros, pois os valores são negativos excepto o ano de 2007.</w:t>
      </w:r>
    </w:p>
    <w:p w:rsidR="002D7593" w:rsidRDefault="002D7593" w:rsidP="002D7593">
      <w:pPr>
        <w:pStyle w:val="Corpodetexto"/>
        <w:spacing w:line="360" w:lineRule="auto"/>
        <w:ind w:firstLine="709"/>
      </w:pPr>
    </w:p>
    <w:p w:rsidR="002D7593" w:rsidRDefault="00B85C3A" w:rsidP="00D57DEB">
      <w:pPr>
        <w:pStyle w:val="Ttulo3"/>
      </w:pPr>
      <w:bookmarkStart w:id="35" w:name="_Toc280108813"/>
      <w:r>
        <w:t>2</w:t>
      </w:r>
      <w:r w:rsidR="0058181A">
        <w:t>.4.2-</w:t>
      </w:r>
      <w:r w:rsidR="002D7593" w:rsidRPr="002D7593">
        <w:t>Rendibilidade de Capital Próprio</w:t>
      </w:r>
      <w:bookmarkEnd w:id="35"/>
    </w:p>
    <w:p w:rsidR="002D7593" w:rsidRDefault="002D7593" w:rsidP="002D7593">
      <w:pPr>
        <w:pStyle w:val="Corpodetexto"/>
        <w:spacing w:line="360" w:lineRule="auto"/>
        <w:ind w:firstLine="709"/>
        <w:rPr>
          <w:sz w:val="22"/>
          <w:szCs w:val="22"/>
          <w:lang w:eastAsia="en-US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/>
            </w:rPr>
            <m:t>Rendibilidade dos Capitais Pr</m:t>
          </m:r>
          <m:r>
            <m:rPr>
              <m:sty m:val="p"/>
            </m:rPr>
            <w:rPr>
              <w:rFonts w:ascii="Cambria Math"/>
            </w:rPr>
            <m:t>ó</m:t>
          </m:r>
          <m:r>
            <m:rPr>
              <m:sty m:val="p"/>
            </m:rPr>
            <w:rPr>
              <w:rFonts w:ascii="Cambria Math"/>
            </w:rPr>
            <m:t xml:space="preserve">prios= </m:t>
          </m:r>
          <m:f>
            <m:fPr>
              <m:ctrlPr>
                <w:rPr>
                  <w:rFonts w:ascii="Cambria Math" w:eastAsia="Calibri" w:hAnsi="Cambria Math"/>
                  <w:sz w:val="22"/>
                  <w:szCs w:val="22"/>
                  <w:lang w:eastAsia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RLE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Capital Pr</m:t>
              </m:r>
              <m:r>
                <m:rPr>
                  <m:sty m:val="p"/>
                </m:rPr>
                <w:rPr>
                  <w:rFonts w:ascii="Cambria Math"/>
                </w:rPr>
                <m:t>ó</m:t>
              </m:r>
              <m:r>
                <m:rPr>
                  <m:sty m:val="p"/>
                </m:rPr>
                <w:rPr>
                  <w:rFonts w:ascii="Cambria Math"/>
                </w:rPr>
                <m:t>prio</m:t>
              </m:r>
            </m:den>
          </m:f>
        </m:oMath>
      </m:oMathPara>
    </w:p>
    <w:p w:rsidR="00771E85" w:rsidRPr="002D7593" w:rsidRDefault="00771E85" w:rsidP="002D7593">
      <w:pPr>
        <w:pStyle w:val="Corpodetexto"/>
        <w:spacing w:line="360" w:lineRule="auto"/>
        <w:ind w:firstLine="709"/>
        <w:rPr>
          <w:b/>
          <w:color w:val="7030A0"/>
        </w:rPr>
      </w:pPr>
    </w:p>
    <w:p w:rsidR="002D7593" w:rsidRPr="00771E85" w:rsidRDefault="002D7593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t>Este rácio mede a parcela do resultado que fica para remunerar os capitais próprios, depois de suportados os custos e das operações de distribuição compulsivas (pagamentos de impostos).</w:t>
      </w:r>
    </w:p>
    <w:p w:rsidR="002D7593" w:rsidRDefault="002D7593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lastRenderedPageBreak/>
        <w:t>Podemos comparar esta taxa com as remunerações oferecidas no mercado de capitais ou com o custo do financiamento, os detentores das acções das empresas podem concluir se o seu capital está a ser bem aplicado.</w:t>
      </w:r>
    </w:p>
    <w:p w:rsidR="00D57DEB" w:rsidRDefault="00D57DEB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1E85" w:rsidRPr="00771E85" w:rsidRDefault="00771E85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2D7593" w:rsidRPr="002D7593" w:rsidTr="002D7593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7593" w:rsidRPr="00E779C6" w:rsidRDefault="002D7593" w:rsidP="002D7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E779C6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E779C6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E779C6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593" w:rsidRPr="00E779C6" w:rsidRDefault="002D7593" w:rsidP="002D7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C41A3D" w:rsidRPr="002D7593" w:rsidTr="002D7593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3D" w:rsidRPr="00E779C6" w:rsidRDefault="00C41A3D" w:rsidP="002D7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Rendibilidade de C.P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-42,15%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49,71%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-7,14%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A3D" w:rsidRDefault="00C41A3D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20,17%</w:t>
            </w:r>
          </w:p>
        </w:tc>
      </w:tr>
    </w:tbl>
    <w:p w:rsidR="00D57DEB" w:rsidRDefault="00D57DEB" w:rsidP="00771E85">
      <w:pPr>
        <w:pStyle w:val="Ttulo2"/>
        <w:spacing w:before="0" w:line="360" w:lineRule="auto"/>
        <w:ind w:firstLine="709"/>
        <w:jc w:val="both"/>
        <w:rPr>
          <w:rFonts w:eastAsia="Times New Roman" w:cs="Times New Roman"/>
          <w:b w:val="0"/>
          <w:iCs/>
          <w:color w:val="000000" w:themeColor="text1"/>
          <w:szCs w:val="24"/>
        </w:rPr>
      </w:pPr>
    </w:p>
    <w:p w:rsidR="00E779C6" w:rsidRPr="00474D73" w:rsidRDefault="00E779C6" w:rsidP="00474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6" w:name="_Toc280108814"/>
      <w:r w:rsidRPr="00474D73">
        <w:rPr>
          <w:rFonts w:ascii="Times New Roman" w:hAnsi="Times New Roman" w:cs="Times New Roman"/>
          <w:sz w:val="24"/>
          <w:szCs w:val="24"/>
        </w:rPr>
        <w:t>A empresa obteve valores negativos, significa que a empresa não rendeu o que os accionistas investiram, excepto no ano de 2008</w:t>
      </w:r>
      <w:r w:rsidR="00C41A3D" w:rsidRPr="00474D73">
        <w:rPr>
          <w:rFonts w:ascii="Times New Roman" w:hAnsi="Times New Roman" w:cs="Times New Roman"/>
          <w:sz w:val="24"/>
          <w:szCs w:val="24"/>
        </w:rPr>
        <w:t xml:space="preserve"> e 2006</w:t>
      </w:r>
      <w:r w:rsidRPr="00474D73">
        <w:rPr>
          <w:rFonts w:ascii="Times New Roman" w:hAnsi="Times New Roman" w:cs="Times New Roman"/>
          <w:sz w:val="24"/>
          <w:szCs w:val="24"/>
        </w:rPr>
        <w:t>.</w:t>
      </w:r>
      <w:bookmarkEnd w:id="36"/>
    </w:p>
    <w:p w:rsidR="00E779C6" w:rsidRPr="00474D73" w:rsidRDefault="00E779C6" w:rsidP="00474D7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7030A0"/>
          <w:sz w:val="24"/>
          <w:szCs w:val="24"/>
        </w:rPr>
      </w:pPr>
    </w:p>
    <w:p w:rsidR="00E779C6" w:rsidRPr="00771E85" w:rsidRDefault="00B85C3A" w:rsidP="00D57DEB">
      <w:pPr>
        <w:pStyle w:val="Ttulo1"/>
      </w:pPr>
      <w:bookmarkStart w:id="37" w:name="_Toc280108815"/>
      <w:r>
        <w:t>3</w:t>
      </w:r>
      <w:r w:rsidR="0058181A">
        <w:t>-</w:t>
      </w:r>
      <w:r w:rsidR="00E779C6" w:rsidRPr="00771E85">
        <w:t>Análise do Risco</w:t>
      </w:r>
      <w:bookmarkEnd w:id="37"/>
    </w:p>
    <w:p w:rsidR="00771E85" w:rsidRDefault="00771E85" w:rsidP="00771E85">
      <w:pPr>
        <w:spacing w:after="0" w:line="36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E779C6" w:rsidRDefault="00B85C3A" w:rsidP="00D57DEB">
      <w:pPr>
        <w:pStyle w:val="Ttulo3"/>
      </w:pPr>
      <w:bookmarkStart w:id="38" w:name="_Toc280108816"/>
      <w:r>
        <w:t>3</w:t>
      </w:r>
      <w:r w:rsidR="0058181A">
        <w:t>.1.1-</w:t>
      </w:r>
      <w:r w:rsidR="00E779C6" w:rsidRPr="00771E85">
        <w:t>Grau da Alavanca Operacional</w:t>
      </w:r>
      <w:bookmarkEnd w:id="38"/>
    </w:p>
    <w:p w:rsidR="00771E85" w:rsidRPr="00771E85" w:rsidRDefault="00771E85" w:rsidP="00771E85">
      <w:pPr>
        <w:spacing w:after="0" w:line="36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E779C6" w:rsidRDefault="00E779C6" w:rsidP="00E779C6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/>
            </w:rPr>
            <m:t xml:space="preserve">Grau de alavanca Operacional=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Margem Bruta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Resultado Operacional</m:t>
              </m:r>
            </m:den>
          </m:f>
        </m:oMath>
      </m:oMathPara>
    </w:p>
    <w:p w:rsidR="00E779C6" w:rsidRDefault="00E779C6" w:rsidP="00E779C6">
      <w:pPr>
        <w:rPr>
          <w:rFonts w:eastAsiaTheme="minorEastAsia"/>
        </w:rPr>
      </w:pPr>
    </w:p>
    <w:p w:rsidR="00E779C6" w:rsidRPr="00771E85" w:rsidRDefault="00E779C6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t xml:space="preserve">Este rácio mede a sensibilidade dos resultados operacionais, as variações ocorridas nas vendas. Quanto maior for o GAO maior será o risco de negócio. </w:t>
      </w:r>
    </w:p>
    <w:p w:rsidR="00E779C6" w:rsidRPr="00E779C6" w:rsidRDefault="00E779C6" w:rsidP="00E779C6">
      <w:pPr>
        <w:rPr>
          <w:b/>
          <w:color w:val="7030A0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E779C6" w:rsidRPr="00E779C6" w:rsidTr="00E779C6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E779C6" w:rsidRPr="00E779C6" w:rsidTr="00E779C6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 xml:space="preserve">Grau de Alavanca </w:t>
            </w:r>
            <w:proofErr w:type="spellStart"/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Oper</w:t>
            </w:r>
            <w:proofErr w:type="spellEnd"/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Default="00E779C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color w:val="FF0000"/>
              </w:rPr>
              <w:t xml:space="preserve">-0,01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Default="00E779C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0,19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Default="00E779C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color w:val="FF0000"/>
              </w:rPr>
              <w:t xml:space="preserve">-0,14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Default="00E779C6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0,34 </w:t>
            </w:r>
          </w:p>
        </w:tc>
      </w:tr>
    </w:tbl>
    <w:p w:rsidR="00E779C6" w:rsidRDefault="00E779C6" w:rsidP="002D7593">
      <w:pPr>
        <w:spacing w:line="360" w:lineRule="auto"/>
        <w:jc w:val="both"/>
      </w:pPr>
    </w:p>
    <w:p w:rsidR="00E779C6" w:rsidRPr="00771E85" w:rsidRDefault="00B85C3A" w:rsidP="00D57DEB">
      <w:pPr>
        <w:pStyle w:val="Ttulo2"/>
      </w:pPr>
      <w:bookmarkStart w:id="39" w:name="_Toc280108817"/>
      <w:r>
        <w:t>3</w:t>
      </w:r>
      <w:r w:rsidR="0058181A">
        <w:t>.2-</w:t>
      </w:r>
      <w:r w:rsidR="00E779C6" w:rsidRPr="00771E85">
        <w:t>Risco Financeiro</w:t>
      </w:r>
      <w:bookmarkEnd w:id="39"/>
    </w:p>
    <w:p w:rsidR="00771E85" w:rsidRDefault="00771E85" w:rsidP="00771E85">
      <w:p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E779C6" w:rsidRDefault="00B85C3A" w:rsidP="00D57DEB">
      <w:pPr>
        <w:pStyle w:val="Ttulo3"/>
      </w:pPr>
      <w:bookmarkStart w:id="40" w:name="_Toc280108818"/>
      <w:r>
        <w:t>3</w:t>
      </w:r>
      <w:r w:rsidR="0058181A">
        <w:t>.2.1-</w:t>
      </w:r>
      <w:r w:rsidR="00E779C6" w:rsidRPr="00771E85">
        <w:t>Grau da Alavanca Financeira</w:t>
      </w:r>
      <w:bookmarkEnd w:id="40"/>
    </w:p>
    <w:p w:rsidR="00771E85" w:rsidRPr="00771E85" w:rsidRDefault="00771E85" w:rsidP="00771E85">
      <w:pPr>
        <w:spacing w:after="0" w:line="36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E779C6" w:rsidRPr="00E779C6" w:rsidRDefault="00E779C6" w:rsidP="002D7593">
      <w:pPr>
        <w:spacing w:line="360" w:lineRule="auto"/>
        <w:jc w:val="both"/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/>
            </w:rPr>
            <m:t xml:space="preserve">Grau de alavanca Financeira= </m:t>
          </m:r>
          <m:f>
            <m:fPr>
              <m:ctrlPr>
                <w:rPr>
                  <w:rFonts w:ascii="Cambria Math" w:eastAsia="Calibri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/>
                </w:rPr>
                <m:t>Resultado Operacional</m:t>
              </m:r>
            </m:num>
            <m:den>
              <m:r>
                <m:rPr>
                  <m:sty m:val="p"/>
                </m:rPr>
                <w:rPr>
                  <w:rFonts w:ascii="Cambria Math"/>
                </w:rPr>
                <m:t>RAI</m:t>
              </m:r>
            </m:den>
          </m:f>
        </m:oMath>
      </m:oMathPara>
    </w:p>
    <w:p w:rsidR="00771E85" w:rsidRDefault="00771E85" w:rsidP="00E779C6">
      <w:pPr>
        <w:spacing w:line="360" w:lineRule="auto"/>
        <w:ind w:firstLine="709"/>
        <w:jc w:val="both"/>
      </w:pPr>
    </w:p>
    <w:p w:rsidR="00E779C6" w:rsidRPr="00771E85" w:rsidRDefault="00E779C6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lastRenderedPageBreak/>
        <w:t>É através deste indicador de Risco (GAC), que combinamos os Rácios Operacionais com os Riscos Financeiros. Assim medimos o impacto de uma variação percentual nas quantidades sobre a variação percentual nos Resultados Líquidos.</w:t>
      </w:r>
    </w:p>
    <w:p w:rsidR="00E779C6" w:rsidRPr="000D1C25" w:rsidRDefault="00E779C6" w:rsidP="002D7593">
      <w:pPr>
        <w:spacing w:line="360" w:lineRule="auto"/>
        <w:jc w:val="both"/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E779C6" w:rsidRPr="00E779C6" w:rsidTr="00E779C6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9C6" w:rsidRPr="00E779C6" w:rsidRDefault="00E779C6" w:rsidP="00E779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E779C6" w:rsidRPr="00E779C6" w:rsidTr="00E779C6">
        <w:trPr>
          <w:trHeight w:val="640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 xml:space="preserve">Grau de Alavanca </w:t>
            </w:r>
            <w:proofErr w:type="spellStart"/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Finan</w:t>
            </w:r>
            <w:proofErr w:type="spellEnd"/>
            <w:r w:rsidRPr="00E779C6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5,22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-2,37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-3,41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9C6" w:rsidRPr="00E779C6" w:rsidRDefault="00E779C6" w:rsidP="00E779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E779C6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0,34 </w:t>
            </w:r>
          </w:p>
        </w:tc>
      </w:tr>
    </w:tbl>
    <w:p w:rsidR="002D7593" w:rsidRDefault="002D7593" w:rsidP="002D7593">
      <w:pPr>
        <w:spacing w:line="360" w:lineRule="auto"/>
        <w:ind w:firstLine="709"/>
        <w:jc w:val="both"/>
      </w:pPr>
    </w:p>
    <w:p w:rsidR="000D3D6D" w:rsidRPr="00771E85" w:rsidRDefault="000D3D6D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t>Podemos concluir que o risco financeiro foi mais elevado em 2007 e 2008.</w:t>
      </w:r>
    </w:p>
    <w:p w:rsidR="000D3D6D" w:rsidRPr="00771E85" w:rsidRDefault="00B85C3A" w:rsidP="00D57DEB">
      <w:pPr>
        <w:pStyle w:val="Ttulo2"/>
      </w:pPr>
      <w:bookmarkStart w:id="41" w:name="_Toc280108819"/>
      <w:r>
        <w:t>3</w:t>
      </w:r>
      <w:r w:rsidR="0058181A">
        <w:t>.3-</w:t>
      </w:r>
      <w:r w:rsidR="000D3D6D" w:rsidRPr="00771E85">
        <w:t>Risco Global</w:t>
      </w:r>
      <w:bookmarkEnd w:id="41"/>
    </w:p>
    <w:p w:rsidR="00771E85" w:rsidRPr="00D57DEB" w:rsidRDefault="000D3D6D" w:rsidP="00D57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t xml:space="preserve">Avalia o risco combinado, implica ter em conta o risco financeiro e o risco operacional. </w:t>
      </w:r>
    </w:p>
    <w:p w:rsidR="00771E85" w:rsidRPr="0010081E" w:rsidRDefault="00B85C3A" w:rsidP="00D57DEB">
      <w:pPr>
        <w:pStyle w:val="Ttulo3"/>
      </w:pPr>
      <w:bookmarkStart w:id="42" w:name="_Toc280108820"/>
      <w:r>
        <w:t>3</w:t>
      </w:r>
      <w:r w:rsidR="0058181A">
        <w:t>.3.1-</w:t>
      </w:r>
      <w:r w:rsidR="000D3D6D" w:rsidRPr="00771E85">
        <w:t>Grau da Alavanca Combinada</w:t>
      </w:r>
      <w:bookmarkEnd w:id="42"/>
    </w:p>
    <w:p w:rsidR="000D3D6D" w:rsidRPr="000D3D6D" w:rsidRDefault="000D3D6D" w:rsidP="002D7593">
      <w:pPr>
        <w:spacing w:line="360" w:lineRule="auto"/>
        <w:ind w:firstLine="709"/>
        <w:jc w:val="both"/>
        <w:rPr>
          <w:b/>
          <w:color w:val="7030A0"/>
        </w:rPr>
      </w:pPr>
      <m:oMathPara>
        <m:oMath>
          <m:r>
            <m:rPr>
              <m:sty m:val="p"/>
            </m:rPr>
            <w:rPr>
              <w:rFonts w:ascii="Cambria Math"/>
            </w:rPr>
            <m:t xml:space="preserve">Grau de alavanca Combinada= </m:t>
          </m:r>
          <m:r>
            <m:rPr>
              <m:sty m:val="p"/>
            </m:rPr>
            <w:rPr>
              <w:rFonts w:ascii="Cambria Math" w:eastAsia="Calibri" w:hAnsi="Cambria Math"/>
            </w:rPr>
            <m:t>Grau da Alavanca Oper.*Grau da Alavanca Finan.</m:t>
          </m:r>
        </m:oMath>
      </m:oMathPara>
    </w:p>
    <w:p w:rsidR="000D3D6D" w:rsidRDefault="000D3D6D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t xml:space="preserve">Mede a sensibilidade do resultado líquido corrente às variações do volume de vendas. </w:t>
      </w:r>
    </w:p>
    <w:p w:rsidR="00771E85" w:rsidRPr="00771E85" w:rsidRDefault="00771E85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0D3D6D" w:rsidRPr="000D3D6D" w:rsidTr="000D3D6D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:rsidR="000D3D6D" w:rsidRPr="000D3D6D" w:rsidRDefault="000D3D6D" w:rsidP="000D3D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0D3D6D" w:rsidRPr="000D3D6D" w:rsidTr="000D3D6D">
        <w:trPr>
          <w:trHeight w:val="3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D6D" w:rsidRPr="000D3D6D" w:rsidRDefault="000D3D6D" w:rsidP="000D3D6D">
            <w:pPr>
              <w:spacing w:after="0" w:line="240" w:lineRule="auto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 xml:space="preserve">Grau de Alavanca </w:t>
            </w:r>
            <w:proofErr w:type="spellStart"/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Comb</w:t>
            </w:r>
            <w:proofErr w:type="spellEnd"/>
            <w:r w:rsidRPr="000D3D6D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 xml:space="preserve">.  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-0,06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-0,45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0,47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D6D" w:rsidRPr="000D3D6D" w:rsidRDefault="000D3D6D" w:rsidP="000D3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0D3D6D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0,19 </w:t>
            </w:r>
          </w:p>
        </w:tc>
      </w:tr>
    </w:tbl>
    <w:p w:rsidR="00506256" w:rsidRDefault="00506256" w:rsidP="0010081E">
      <w:pPr>
        <w:spacing w:line="360" w:lineRule="auto"/>
        <w:jc w:val="both"/>
      </w:pPr>
    </w:p>
    <w:p w:rsidR="000D3D6D" w:rsidRDefault="000D3D6D" w:rsidP="00184202">
      <w:pPr>
        <w:pStyle w:val="PargrafodaLista"/>
        <w:numPr>
          <w:ilvl w:val="0"/>
          <w:numId w:val="9"/>
        </w:numPr>
        <w:spacing w:line="360" w:lineRule="auto"/>
        <w:jc w:val="both"/>
        <w:rPr>
          <w:b/>
        </w:rPr>
      </w:pPr>
      <w:r w:rsidRPr="00184202">
        <w:rPr>
          <w:b/>
        </w:rPr>
        <w:t>Repres</w:t>
      </w:r>
      <w:r w:rsidR="00184202" w:rsidRPr="00184202">
        <w:rPr>
          <w:b/>
        </w:rPr>
        <w:t>entação Grá</w:t>
      </w:r>
      <w:r w:rsidRPr="00184202">
        <w:rPr>
          <w:b/>
        </w:rPr>
        <w:t>fica</w:t>
      </w:r>
      <w:r w:rsidR="00184202" w:rsidRPr="00184202">
        <w:rPr>
          <w:b/>
        </w:rPr>
        <w:t xml:space="preserve"> dos graus da Alavanca</w:t>
      </w:r>
    </w:p>
    <w:p w:rsidR="00184202" w:rsidRPr="00184202" w:rsidRDefault="00184202" w:rsidP="00184202">
      <w:pPr>
        <w:spacing w:line="360" w:lineRule="auto"/>
        <w:ind w:left="360"/>
        <w:jc w:val="both"/>
        <w:rPr>
          <w:b/>
        </w:rPr>
      </w:pPr>
      <w:r>
        <w:rPr>
          <w:noProof/>
          <w:lang w:eastAsia="pt-PT"/>
        </w:rPr>
        <w:drawing>
          <wp:inline distT="0" distB="0" distL="0" distR="0">
            <wp:extent cx="4632463" cy="1478943"/>
            <wp:effectExtent l="19050" t="0" r="15737" b="6957"/>
            <wp:docPr id="15" name="Gráfico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184202" w:rsidRPr="0010081E" w:rsidRDefault="00B85C3A" w:rsidP="00D57DEB">
      <w:pPr>
        <w:pStyle w:val="Ttulo1"/>
      </w:pPr>
      <w:bookmarkStart w:id="43" w:name="_Toc280108821"/>
      <w:r>
        <w:t>4</w:t>
      </w:r>
      <w:r w:rsidR="0058181A">
        <w:t>-</w:t>
      </w:r>
      <w:r w:rsidR="00184202" w:rsidRPr="00771E85">
        <w:t>Cash-Flow</w:t>
      </w:r>
      <w:bookmarkEnd w:id="43"/>
    </w:p>
    <w:p w:rsidR="00D57DEB" w:rsidRDefault="00D57DEB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4202" w:rsidRDefault="00184202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1E8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É um termo que se refere à quantidade de dinheiro que é recebido e pago por um negócio durante um determinado período, por vezes associado a um projecto específico. </w:t>
      </w:r>
    </w:p>
    <w:p w:rsidR="00771E85" w:rsidRPr="00771E85" w:rsidRDefault="00771E85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4202" w:rsidRDefault="00184202" w:rsidP="0010081E">
      <w:pPr>
        <w:pStyle w:val="PargrafodaLista"/>
        <w:suppressAutoHyphens/>
        <w:spacing w:after="0" w:line="360" w:lineRule="auto"/>
        <w:ind w:left="360"/>
        <w:jc w:val="both"/>
      </w:pPr>
      <w:proofErr w:type="spellStart"/>
      <w:r w:rsidRPr="0068722E">
        <w:rPr>
          <w:u w:val="single"/>
        </w:rPr>
        <w:t>Cash-Flow</w:t>
      </w:r>
      <w:proofErr w:type="spellEnd"/>
      <w:r>
        <w:rPr>
          <w:u w:val="single"/>
        </w:rPr>
        <w:t xml:space="preserve"> </w:t>
      </w:r>
      <w:r w:rsidRPr="00760FD8">
        <w:t>= RLE + Amortizações + ∆ Ajustamentos + ∆ Provisões</w:t>
      </w:r>
    </w:p>
    <w:tbl>
      <w:tblPr>
        <w:tblW w:w="8587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707"/>
        <w:gridCol w:w="1720"/>
        <w:gridCol w:w="1720"/>
        <w:gridCol w:w="1720"/>
        <w:gridCol w:w="1720"/>
      </w:tblGrid>
      <w:tr w:rsidR="00184202" w:rsidRPr="00184202" w:rsidTr="00184202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</w:tcPr>
          <w:p w:rsidR="00184202" w:rsidRPr="00184202" w:rsidRDefault="00184202" w:rsidP="001842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Indicador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2006</w:t>
            </w:r>
          </w:p>
        </w:tc>
      </w:tr>
      <w:tr w:rsidR="00184202" w:rsidRPr="00184202" w:rsidTr="00184202">
        <w:trPr>
          <w:trHeight w:val="3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202" w:rsidRPr="00184202" w:rsidRDefault="00184202" w:rsidP="001842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</w:pPr>
            <w:proofErr w:type="spellStart"/>
            <w:r w:rsidRPr="00184202">
              <w:rPr>
                <w:rFonts w:ascii="Calibri" w:eastAsia="Times New Roman" w:hAnsi="Calibri" w:cs="Times New Roman"/>
                <w:color w:val="7030A0"/>
                <w:sz w:val="24"/>
                <w:szCs w:val="24"/>
                <w:lang w:eastAsia="pt-PT"/>
              </w:rPr>
              <w:t>Cash-Flow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343.329,00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214.545,00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  <w:t xml:space="preserve">1.711.419,00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202" w:rsidRPr="00184202" w:rsidRDefault="00184202" w:rsidP="001842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pt-PT"/>
              </w:rPr>
            </w:pPr>
            <w:r w:rsidRPr="00184202"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pt-PT"/>
              </w:rPr>
              <w:t xml:space="preserve">-1.984.009,00 </w:t>
            </w:r>
          </w:p>
        </w:tc>
      </w:tr>
    </w:tbl>
    <w:p w:rsidR="00184202" w:rsidRPr="00760FD8" w:rsidRDefault="00184202" w:rsidP="00184202">
      <w:pPr>
        <w:pStyle w:val="PargrafodaLista"/>
        <w:suppressAutoHyphens/>
        <w:spacing w:after="0" w:line="360" w:lineRule="auto"/>
        <w:ind w:left="360"/>
        <w:jc w:val="both"/>
      </w:pPr>
    </w:p>
    <w:p w:rsidR="000D3D6D" w:rsidRPr="00771E85" w:rsidRDefault="00184202" w:rsidP="00771E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E85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771E85">
        <w:rPr>
          <w:rFonts w:ascii="Times New Roman" w:hAnsi="Times New Roman" w:cs="Times New Roman"/>
          <w:sz w:val="24"/>
          <w:szCs w:val="24"/>
        </w:rPr>
        <w:t>cash-flow</w:t>
      </w:r>
      <w:proofErr w:type="spellEnd"/>
      <w:r w:rsidRPr="00771E85">
        <w:rPr>
          <w:rFonts w:ascii="Times New Roman" w:hAnsi="Times New Roman" w:cs="Times New Roman"/>
          <w:sz w:val="24"/>
          <w:szCs w:val="24"/>
        </w:rPr>
        <w:t xml:space="preserve"> no ano de 2006 apresentou valores negativos, devido a ter um resultado líquido do exercício negativo e com um valor muito elevado, no ano de 2007 apresenta valores mais elevados, diminuindo em 2008, mas mantêm-se com valores positivos.</w:t>
      </w:r>
    </w:p>
    <w:p w:rsidR="00184202" w:rsidRDefault="00184202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D57DEB" w:rsidRDefault="00D57DEB" w:rsidP="00771E85">
      <w:pPr>
        <w:spacing w:line="360" w:lineRule="auto"/>
        <w:jc w:val="both"/>
      </w:pPr>
    </w:p>
    <w:p w:rsidR="00184202" w:rsidRPr="00D57DEB" w:rsidRDefault="00184202" w:rsidP="00D57DEB">
      <w:pPr>
        <w:pStyle w:val="Ttulo1"/>
        <w:rPr>
          <w:sz w:val="24"/>
          <w:szCs w:val="24"/>
        </w:rPr>
      </w:pPr>
      <w:bookmarkStart w:id="44" w:name="_Toc280108822"/>
      <w:r w:rsidRPr="00D57DEB">
        <w:rPr>
          <w:sz w:val="24"/>
          <w:szCs w:val="24"/>
        </w:rPr>
        <w:t>Comentário á Demonstração de Resultados para Análise Financeira</w:t>
      </w:r>
      <w:bookmarkEnd w:id="44"/>
    </w:p>
    <w:p w:rsidR="001A5E4D" w:rsidRPr="0010081E" w:rsidRDefault="001A5E4D" w:rsidP="0010081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t xml:space="preserve">    </w:t>
      </w:r>
      <w:r w:rsidRPr="0010081E">
        <w:rPr>
          <w:rFonts w:ascii="Times New Roman" w:hAnsi="Times New Roman" w:cs="Times New Roman"/>
          <w:bCs/>
          <w:iCs/>
          <w:sz w:val="24"/>
          <w:szCs w:val="24"/>
        </w:rPr>
        <w:t>Ao analisarmos a Demonstração de Resultados começamos por analisar os proveitos, destacando-se as vendas que registou um aumento durante os quatro anos mais Significativamente de 2008 para 2009.</w:t>
      </w:r>
    </w:p>
    <w:p w:rsidR="00506256" w:rsidRPr="0010081E" w:rsidRDefault="001A5E4D" w:rsidP="0010081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0081E">
        <w:rPr>
          <w:rFonts w:ascii="Times New Roman" w:hAnsi="Times New Roman" w:cs="Times New Roman"/>
          <w:bCs/>
          <w:iCs/>
          <w:sz w:val="24"/>
          <w:szCs w:val="24"/>
        </w:rPr>
        <w:t xml:space="preserve">Nos anos de 2006 e 2007 as prestações de serviços foram superiores ao valor das vendas, verificando-se o contrário em 2008 e 2009. </w:t>
      </w:r>
      <w:r w:rsidR="00A328B8" w:rsidRPr="0010081E">
        <w:rPr>
          <w:rFonts w:ascii="Times New Roman" w:hAnsi="Times New Roman" w:cs="Times New Roman"/>
          <w:bCs/>
          <w:iCs/>
          <w:sz w:val="24"/>
          <w:szCs w:val="24"/>
        </w:rPr>
        <w:t>Ao longo dos anos verificou-se um aumento da produção.</w:t>
      </w:r>
    </w:p>
    <w:p w:rsidR="00A328B8" w:rsidRPr="0010081E" w:rsidRDefault="00A328B8" w:rsidP="001008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81E">
        <w:rPr>
          <w:rFonts w:ascii="Times New Roman" w:hAnsi="Times New Roman" w:cs="Times New Roman"/>
          <w:sz w:val="24"/>
          <w:szCs w:val="24"/>
        </w:rPr>
        <w:t xml:space="preserve">No que respeita aos custos verificamos que o principal custo da empresa é o custo das mercadorias vendidas e das matérias consumidas representando </w:t>
      </w:r>
      <w:r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51,00%, de seguida a percentagem mais elevada </w:t>
      </w:r>
      <w:r w:rsidR="00D73446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é o</w:t>
      </w:r>
      <w:r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 Custos com o Pessoal que apresenta um valor de 24,7</w:t>
      </w:r>
      <w:r w:rsidR="00D73446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6%, </w:t>
      </w:r>
      <w:r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os Fornecimentos e Serviços Externos com uma percentagem de 18,21%</w:t>
      </w:r>
      <w:r w:rsidR="00D73446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, estes são os Custos com mais peso na DR</w:t>
      </w:r>
      <w:r w:rsidR="0055263F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, sendo os</w:t>
      </w:r>
      <w:r w:rsidRPr="0010081E">
        <w:rPr>
          <w:rFonts w:ascii="Times New Roman" w:hAnsi="Times New Roman" w:cs="Times New Roman"/>
          <w:sz w:val="24"/>
          <w:szCs w:val="24"/>
        </w:rPr>
        <w:t xml:space="preserve"> outros custos pouco relevantes na sua análise.</w:t>
      </w:r>
    </w:p>
    <w:p w:rsidR="00A328B8" w:rsidRPr="0010081E" w:rsidRDefault="00A328B8" w:rsidP="001008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81E">
        <w:rPr>
          <w:rFonts w:ascii="Times New Roman" w:hAnsi="Times New Roman" w:cs="Times New Roman"/>
          <w:sz w:val="24"/>
          <w:szCs w:val="24"/>
        </w:rPr>
        <w:t>Uma parte significativa do Valor Acrescentado Bruto provém do custo das mercadorias ven</w:t>
      </w:r>
      <w:r w:rsidR="0055263F" w:rsidRPr="0010081E">
        <w:rPr>
          <w:rFonts w:ascii="Times New Roman" w:hAnsi="Times New Roman" w:cs="Times New Roman"/>
          <w:sz w:val="24"/>
          <w:szCs w:val="24"/>
        </w:rPr>
        <w:t>didas e das matérias consumidas, deste modo também se verifica um aumento em todos os anos.</w:t>
      </w:r>
    </w:p>
    <w:p w:rsidR="00A328B8" w:rsidRPr="0010081E" w:rsidRDefault="00A328B8" w:rsidP="0010081E">
      <w:pPr>
        <w:pStyle w:val="Avanodecorpodetexto"/>
        <w:spacing w:after="0" w:line="360" w:lineRule="auto"/>
        <w:ind w:left="0" w:firstLine="709"/>
        <w:jc w:val="both"/>
      </w:pPr>
      <w:r w:rsidRPr="0010081E">
        <w:t xml:space="preserve">No valor do Excedente Bruto de Exploração o maior valor provêm dos custos com o pessoal, o ano em que se verificou um elevado custo </w:t>
      </w:r>
      <w:r w:rsidR="0055263F" w:rsidRPr="0010081E">
        <w:t>com o pessoal foi o ano de 2009, mas o valor mais alto do Valor do Excedente Bruto de Exploração é o de 2008 com um valor de 1.847.474,00€, o que corresponde a uma percentagem de 6,13%.</w:t>
      </w:r>
    </w:p>
    <w:p w:rsidR="0055263F" w:rsidRPr="0010081E" w:rsidRDefault="00A328B8" w:rsidP="001008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81E">
        <w:rPr>
          <w:rFonts w:ascii="Times New Roman" w:hAnsi="Times New Roman" w:cs="Times New Roman"/>
          <w:sz w:val="24"/>
          <w:szCs w:val="24"/>
        </w:rPr>
        <w:t>O resultado Operacional em 2006 é negativo (1.404.251.00)</w:t>
      </w:r>
      <w:r w:rsidR="003F20C8" w:rsidRPr="0010081E">
        <w:rPr>
          <w:rFonts w:ascii="Times New Roman" w:hAnsi="Times New Roman" w:cs="Times New Roman"/>
          <w:sz w:val="24"/>
          <w:szCs w:val="24"/>
        </w:rPr>
        <w:t xml:space="preserve"> o que corresponde a uma percentagem de </w:t>
      </w:r>
      <w:r w:rsidR="003F20C8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-4,66%, </w:t>
      </w:r>
      <w:r w:rsidR="0055263F" w:rsidRPr="0010081E">
        <w:rPr>
          <w:rFonts w:ascii="Times New Roman" w:hAnsi="Times New Roman" w:cs="Times New Roman"/>
          <w:sz w:val="24"/>
          <w:szCs w:val="24"/>
        </w:rPr>
        <w:t>e o valor mais alto encontra-se no ano de 2007 com um saldo positivo de 2.204.420,00€.</w:t>
      </w:r>
    </w:p>
    <w:p w:rsidR="005E310B" w:rsidRPr="0010081E" w:rsidRDefault="005E310B" w:rsidP="001008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81E">
        <w:rPr>
          <w:rFonts w:ascii="Times New Roman" w:hAnsi="Times New Roman" w:cs="Times New Roman"/>
          <w:sz w:val="24"/>
          <w:szCs w:val="24"/>
        </w:rPr>
        <w:t>O valor dos Custos e Perdas Extraordinários refere</w:t>
      </w:r>
      <w:r w:rsidR="0055263F" w:rsidRPr="0010081E">
        <w:rPr>
          <w:rFonts w:ascii="Times New Roman" w:hAnsi="Times New Roman" w:cs="Times New Roman"/>
          <w:sz w:val="24"/>
          <w:szCs w:val="24"/>
        </w:rPr>
        <w:t xml:space="preserve">-se a perdas por imparidade </w:t>
      </w:r>
      <w:r w:rsidRPr="0010081E">
        <w:rPr>
          <w:rFonts w:ascii="Times New Roman" w:hAnsi="Times New Roman" w:cs="Times New Roman"/>
          <w:sz w:val="24"/>
          <w:szCs w:val="24"/>
        </w:rPr>
        <w:t>de activos, visto que não é algo que aconteça todos os dias na empresa.</w:t>
      </w:r>
    </w:p>
    <w:p w:rsidR="005E310B" w:rsidRPr="0010081E" w:rsidRDefault="0055263F" w:rsidP="0010081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10081E">
        <w:rPr>
          <w:rFonts w:ascii="Times New Roman" w:hAnsi="Times New Roman" w:cs="Times New Roman"/>
          <w:sz w:val="24"/>
          <w:szCs w:val="24"/>
        </w:rPr>
        <w:t xml:space="preserve"> </w:t>
      </w:r>
      <w:r w:rsidR="003F20C8" w:rsidRPr="0010081E">
        <w:rPr>
          <w:rFonts w:ascii="Times New Roman" w:hAnsi="Times New Roman" w:cs="Times New Roman"/>
          <w:sz w:val="24"/>
          <w:szCs w:val="24"/>
        </w:rPr>
        <w:t>Os resultados correntes apresentam valores negativos, no ano de 2006 é o ano</w:t>
      </w:r>
      <w:r w:rsidR="005E310B" w:rsidRPr="0010081E">
        <w:rPr>
          <w:rFonts w:ascii="Times New Roman" w:hAnsi="Times New Roman" w:cs="Times New Roman"/>
          <w:sz w:val="24"/>
          <w:szCs w:val="24"/>
        </w:rPr>
        <w:t xml:space="preserve"> de 2008, sendo o valor de 2006 muito elevado apresentando </w:t>
      </w:r>
      <w:r w:rsidR="005E310B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(3.047.509,00). Em 2007 o valor já é positivo, bem como no ano de 2009.</w:t>
      </w:r>
    </w:p>
    <w:p w:rsidR="005E310B" w:rsidRPr="0010081E" w:rsidRDefault="005E310B" w:rsidP="0010081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No resultado líquido podemos observar que só um ano é que não </w:t>
      </w:r>
      <w:r w:rsidR="0010081E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é negativo em 2007, sendo assim esse é o único ano em que a empresa pode distribuir o seu resultado, </w:t>
      </w:r>
      <w:r w:rsidR="0010081E" w:rsidRPr="0010081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lastRenderedPageBreak/>
        <w:t>em primeiro lugar deve cobrir os resultados negativos anteriores e se restar algum, ai pode ser distribuído pelos sócios e reservas, sendo o resultado negativo não se pode distribuir, logo transferimos esse valor para os Resultados Transitados.</w:t>
      </w:r>
    </w:p>
    <w:p w:rsidR="00D57DEB" w:rsidRDefault="00D57DEB" w:rsidP="00B85C3A">
      <w:pPr>
        <w:jc w:val="center"/>
        <w:rPr>
          <w:rFonts w:ascii="Times New Roman" w:eastAsia="Times New Roman" w:hAnsi="Times New Roman" w:cs="Times New Roman"/>
          <w:b/>
          <w:color w:val="7030A0"/>
          <w:sz w:val="32"/>
          <w:szCs w:val="32"/>
          <w:lang w:eastAsia="pt-PT"/>
        </w:rPr>
      </w:pPr>
    </w:p>
    <w:p w:rsidR="005E310B" w:rsidRPr="0049711D" w:rsidRDefault="0049711D" w:rsidP="00D57DEB">
      <w:pPr>
        <w:pStyle w:val="Ttulo1"/>
        <w:rPr>
          <w:rFonts w:eastAsia="Times New Roman"/>
          <w:lang w:eastAsia="pt-PT"/>
        </w:rPr>
      </w:pPr>
      <w:bookmarkStart w:id="45" w:name="_Toc280108823"/>
      <w:r w:rsidRPr="0049711D">
        <w:rPr>
          <w:rFonts w:eastAsia="Times New Roman"/>
          <w:lang w:eastAsia="pt-PT"/>
        </w:rPr>
        <w:t>Conclusão</w:t>
      </w:r>
      <w:bookmarkEnd w:id="45"/>
    </w:p>
    <w:p w:rsidR="003F20C8" w:rsidRPr="000023F9" w:rsidRDefault="0049711D" w:rsidP="000023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0023F9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Com a execução da Análise Financeira da </w:t>
      </w:r>
      <w:proofErr w:type="spellStart"/>
      <w:r w:rsidRPr="000023F9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Compta</w:t>
      </w:r>
      <w:proofErr w:type="spellEnd"/>
      <w:r w:rsidRPr="000023F9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 – Equipamentos e Serviços de Informática, S.A., foi possível obter uma visão mais precisa da situação económica e financeira da empresa.</w:t>
      </w:r>
    </w:p>
    <w:p w:rsidR="0049711D" w:rsidRPr="000023F9" w:rsidRDefault="0049711D" w:rsidP="0000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23F9">
        <w:rPr>
          <w:rFonts w:ascii="Times New Roman" w:hAnsi="Times New Roman" w:cs="Times New Roman"/>
          <w:sz w:val="24"/>
          <w:szCs w:val="24"/>
        </w:rPr>
        <w:t xml:space="preserve">Foi interessante analisar os relatórios e contas da empresa </w:t>
      </w:r>
      <w:proofErr w:type="spellStart"/>
      <w:r w:rsidRPr="000023F9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0023F9">
        <w:rPr>
          <w:rFonts w:ascii="Times New Roman" w:hAnsi="Times New Roman" w:cs="Times New Roman"/>
          <w:sz w:val="24"/>
          <w:szCs w:val="24"/>
        </w:rPr>
        <w:t>, visto que uma empresa num ano tem valores positivos e no ano a seguir pode ter valores negativos</w:t>
      </w:r>
      <w:r w:rsidR="000023F9" w:rsidRPr="000023F9">
        <w:rPr>
          <w:rFonts w:ascii="Times New Roman" w:hAnsi="Times New Roman" w:cs="Times New Roman"/>
          <w:sz w:val="24"/>
          <w:szCs w:val="24"/>
        </w:rPr>
        <w:t xml:space="preserve">, ficando a empresa com pouca estabilidade </w:t>
      </w:r>
      <w:proofErr w:type="spellStart"/>
      <w:r w:rsidR="000023F9" w:rsidRPr="000023F9">
        <w:rPr>
          <w:rFonts w:ascii="Times New Roman" w:hAnsi="Times New Roman" w:cs="Times New Roman"/>
          <w:sz w:val="24"/>
          <w:szCs w:val="24"/>
        </w:rPr>
        <w:t>economica</w:t>
      </w:r>
      <w:proofErr w:type="spellEnd"/>
      <w:r w:rsidRPr="000023F9">
        <w:rPr>
          <w:rFonts w:ascii="Times New Roman" w:hAnsi="Times New Roman" w:cs="Times New Roman"/>
          <w:sz w:val="24"/>
          <w:szCs w:val="24"/>
        </w:rPr>
        <w:t>.</w:t>
      </w:r>
    </w:p>
    <w:p w:rsidR="000023F9" w:rsidRPr="000023F9" w:rsidRDefault="000023F9" w:rsidP="000023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23F9">
        <w:rPr>
          <w:rFonts w:ascii="Times New Roman" w:eastAsia="Calibri" w:hAnsi="Times New Roman" w:cs="Times New Roman"/>
          <w:sz w:val="24"/>
          <w:szCs w:val="24"/>
        </w:rPr>
        <w:t xml:space="preserve">Contudo isto, podemos concluir que a </w:t>
      </w:r>
      <w:proofErr w:type="spellStart"/>
      <w:r w:rsidRPr="000023F9">
        <w:rPr>
          <w:rFonts w:ascii="Times New Roman" w:hAnsi="Times New Roman" w:cs="Times New Roman"/>
          <w:sz w:val="24"/>
          <w:szCs w:val="24"/>
        </w:rPr>
        <w:t>Compta</w:t>
      </w:r>
      <w:proofErr w:type="spellEnd"/>
      <w:r w:rsidRPr="000023F9">
        <w:rPr>
          <w:rFonts w:ascii="Times New Roman" w:eastAsia="Calibri" w:hAnsi="Times New Roman" w:cs="Times New Roman"/>
          <w:sz w:val="24"/>
          <w:szCs w:val="24"/>
        </w:rPr>
        <w:t xml:space="preserve"> tem atravessado um período económico e financeiro difícil com tendências a melhorar. Apesar de o ano 200</w:t>
      </w:r>
      <w:r w:rsidRPr="000023F9">
        <w:rPr>
          <w:rFonts w:ascii="Times New Roman" w:hAnsi="Times New Roman" w:cs="Times New Roman"/>
          <w:sz w:val="24"/>
          <w:szCs w:val="24"/>
        </w:rPr>
        <w:t>9</w:t>
      </w:r>
      <w:r w:rsidRPr="000023F9">
        <w:rPr>
          <w:rFonts w:ascii="Times New Roman" w:eastAsia="Calibri" w:hAnsi="Times New Roman" w:cs="Times New Roman"/>
          <w:sz w:val="24"/>
          <w:szCs w:val="24"/>
        </w:rPr>
        <w:t xml:space="preserve"> ter sido mais positivo que os restantes anos, ainda não foi o suficiente para ultrapassar a crise para conseguir um equilíbrio financeiro.   </w:t>
      </w:r>
    </w:p>
    <w:p w:rsidR="003F20C8" w:rsidRPr="003F20C8" w:rsidRDefault="003F20C8" w:rsidP="003F20C8">
      <w:pPr>
        <w:jc w:val="both"/>
        <w:rPr>
          <w:rFonts w:ascii="Calibri" w:eastAsia="Times New Roman" w:hAnsi="Calibri" w:cs="Times New Roman"/>
          <w:color w:val="000000"/>
          <w:lang w:eastAsia="pt-PT"/>
        </w:rPr>
      </w:pPr>
    </w:p>
    <w:p w:rsidR="00A328B8" w:rsidRPr="00347010" w:rsidRDefault="00A328B8" w:rsidP="00A328B8">
      <w:pPr>
        <w:pStyle w:val="Avanodecorpodetexto"/>
        <w:spacing w:after="0" w:line="360" w:lineRule="auto"/>
        <w:ind w:left="0" w:firstLine="708"/>
        <w:jc w:val="both"/>
      </w:pPr>
    </w:p>
    <w:p w:rsidR="00A328B8" w:rsidRDefault="00A328B8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A328B8" w:rsidRDefault="00A328B8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B85C3A" w:rsidRDefault="00B85C3A" w:rsidP="00A328B8">
      <w:pPr>
        <w:rPr>
          <w:rFonts w:ascii="Calibri" w:eastAsia="Times New Roman" w:hAnsi="Calibri" w:cs="Times New Roman"/>
          <w:color w:val="000000"/>
          <w:lang w:eastAsia="pt-PT"/>
        </w:rPr>
      </w:pPr>
    </w:p>
    <w:p w:rsidR="00D57DEB" w:rsidRDefault="00D57DEB" w:rsidP="00B85C3A">
      <w:pPr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pt-PT"/>
        </w:rPr>
      </w:pPr>
    </w:p>
    <w:p w:rsidR="00B85C3A" w:rsidRDefault="00B85C3A" w:rsidP="00D57DEB">
      <w:pPr>
        <w:pStyle w:val="Ttulo1"/>
        <w:rPr>
          <w:rFonts w:eastAsia="Times New Roman"/>
          <w:lang w:eastAsia="pt-PT"/>
        </w:rPr>
      </w:pPr>
      <w:bookmarkStart w:id="46" w:name="_Toc280108824"/>
      <w:r w:rsidRPr="00B85C3A">
        <w:rPr>
          <w:rFonts w:eastAsia="Times New Roman"/>
          <w:lang w:eastAsia="pt-PT"/>
        </w:rPr>
        <w:t>Bibliografia</w:t>
      </w:r>
      <w:bookmarkEnd w:id="46"/>
    </w:p>
    <w:p w:rsidR="00D57DEB" w:rsidRPr="00D57DEB" w:rsidRDefault="00D57DEB" w:rsidP="00D57DEB">
      <w:pPr>
        <w:rPr>
          <w:lang w:eastAsia="pt-PT"/>
        </w:rPr>
      </w:pPr>
    </w:p>
    <w:p w:rsidR="00506256" w:rsidRDefault="00B85C3A" w:rsidP="00B85C3A">
      <w:pPr>
        <w:pStyle w:val="PargrafodaLista"/>
        <w:numPr>
          <w:ilvl w:val="0"/>
          <w:numId w:val="18"/>
        </w:numPr>
        <w:spacing w:after="0" w:line="360" w:lineRule="auto"/>
        <w:jc w:val="both"/>
      </w:pPr>
      <w:r>
        <w:t xml:space="preserve">Relatório e Contas2009 - </w:t>
      </w:r>
      <w:proofErr w:type="spellStart"/>
      <w:r>
        <w:t>Compta</w:t>
      </w:r>
      <w:proofErr w:type="spellEnd"/>
      <w:r>
        <w:t>;</w:t>
      </w:r>
    </w:p>
    <w:p w:rsidR="00B85C3A" w:rsidRDefault="00B85C3A" w:rsidP="00B85C3A">
      <w:pPr>
        <w:pStyle w:val="PargrafodaLista"/>
        <w:numPr>
          <w:ilvl w:val="0"/>
          <w:numId w:val="18"/>
        </w:numPr>
        <w:spacing w:after="0" w:line="360" w:lineRule="auto"/>
        <w:jc w:val="both"/>
      </w:pPr>
      <w:r>
        <w:t xml:space="preserve">Relatório e Contas2008 – </w:t>
      </w:r>
      <w:proofErr w:type="spellStart"/>
      <w:r>
        <w:t>Compta</w:t>
      </w:r>
      <w:proofErr w:type="spellEnd"/>
      <w:r>
        <w:t>;</w:t>
      </w:r>
    </w:p>
    <w:p w:rsidR="00B85C3A" w:rsidRDefault="00B85C3A" w:rsidP="00B85C3A">
      <w:pPr>
        <w:pStyle w:val="PargrafodaLista"/>
        <w:numPr>
          <w:ilvl w:val="0"/>
          <w:numId w:val="18"/>
        </w:numPr>
        <w:spacing w:after="0" w:line="360" w:lineRule="auto"/>
        <w:jc w:val="both"/>
      </w:pPr>
      <w:r>
        <w:t xml:space="preserve">Relatório e Contas2007 – </w:t>
      </w:r>
      <w:proofErr w:type="spellStart"/>
      <w:r>
        <w:t>Compta</w:t>
      </w:r>
      <w:proofErr w:type="spellEnd"/>
      <w:r>
        <w:t>;</w:t>
      </w:r>
    </w:p>
    <w:p w:rsidR="00B85C3A" w:rsidRDefault="00B85C3A" w:rsidP="00B85C3A">
      <w:pPr>
        <w:pStyle w:val="PargrafodaLista"/>
        <w:numPr>
          <w:ilvl w:val="0"/>
          <w:numId w:val="18"/>
        </w:numPr>
        <w:spacing w:after="0" w:line="360" w:lineRule="auto"/>
        <w:jc w:val="both"/>
      </w:pPr>
      <w:r>
        <w:t xml:space="preserve">Relatório e Contas2006 – </w:t>
      </w:r>
      <w:proofErr w:type="spellStart"/>
      <w:r>
        <w:t>Compta</w:t>
      </w:r>
      <w:proofErr w:type="spellEnd"/>
      <w:r>
        <w:t>;</w:t>
      </w:r>
    </w:p>
    <w:p w:rsidR="009E6485" w:rsidRDefault="009E6485" w:rsidP="00B85C3A">
      <w:pPr>
        <w:pStyle w:val="PargrafodaLista"/>
        <w:numPr>
          <w:ilvl w:val="0"/>
          <w:numId w:val="18"/>
        </w:numPr>
        <w:spacing w:after="0" w:line="360" w:lineRule="auto"/>
        <w:jc w:val="both"/>
      </w:pPr>
      <w:r>
        <w:t xml:space="preserve">Autores: João Gomes e Jorge Pires/SNC – Sistema de Normalização Contabilística Teoria e </w:t>
      </w:r>
      <w:proofErr w:type="gramStart"/>
      <w:r>
        <w:t>Pratica</w:t>
      </w:r>
      <w:proofErr w:type="gramEnd"/>
      <w:r>
        <w:t xml:space="preserve"> 3ª Edição/ Garantia Mútua; Vida Económica/ pág.893 a 910.</w:t>
      </w: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Default="009E6485" w:rsidP="009E6485">
      <w:pPr>
        <w:spacing w:after="0" w:line="360" w:lineRule="auto"/>
        <w:jc w:val="both"/>
      </w:pPr>
    </w:p>
    <w:p w:rsidR="009E6485" w:rsidRPr="009E6485" w:rsidRDefault="009E6485" w:rsidP="00D57DEB">
      <w:pPr>
        <w:pStyle w:val="Ttulo1"/>
      </w:pPr>
      <w:bookmarkStart w:id="47" w:name="_Toc280108825"/>
      <w:proofErr w:type="spellStart"/>
      <w:r w:rsidRPr="009E6485">
        <w:t>Webgrafia</w:t>
      </w:r>
      <w:bookmarkEnd w:id="47"/>
      <w:proofErr w:type="spellEnd"/>
    </w:p>
    <w:p w:rsidR="009E6485" w:rsidRDefault="009E6485" w:rsidP="009E6485">
      <w:pPr>
        <w:spacing w:after="0" w:line="360" w:lineRule="auto"/>
        <w:jc w:val="both"/>
      </w:pPr>
    </w:p>
    <w:p w:rsidR="00B85C3A" w:rsidRPr="00EC5932" w:rsidRDefault="00DB435F" w:rsidP="00B85C3A">
      <w:pPr>
        <w:pStyle w:val="PargrafodaLista"/>
        <w:numPr>
          <w:ilvl w:val="0"/>
          <w:numId w:val="18"/>
        </w:numPr>
        <w:spacing w:after="0" w:line="360" w:lineRule="auto"/>
        <w:jc w:val="both"/>
      </w:pPr>
      <w:hyperlink r:id="rId26" w:history="1">
        <w:r w:rsidR="00B85C3A" w:rsidRPr="00EC5932">
          <w:rPr>
            <w:rStyle w:val="Hiperligao"/>
          </w:rPr>
          <w:t>www.compta.pt</w:t>
        </w:r>
      </w:hyperlink>
    </w:p>
    <w:p w:rsidR="009E6485" w:rsidRPr="00CC6D8A" w:rsidRDefault="00DB435F" w:rsidP="009E6485">
      <w:pPr>
        <w:numPr>
          <w:ilvl w:val="0"/>
          <w:numId w:val="18"/>
        </w:numPr>
        <w:spacing w:after="0" w:line="360" w:lineRule="auto"/>
      </w:pPr>
      <w:hyperlink r:id="rId27" w:history="1">
        <w:r w:rsidR="009E6485" w:rsidRPr="00CC6D8A">
          <w:rPr>
            <w:rStyle w:val="Hiperligao"/>
          </w:rPr>
          <w:t>http://www.finbolsa.com/signdef.asp</w:t>
        </w:r>
      </w:hyperlink>
    </w:p>
    <w:p w:rsidR="009E6485" w:rsidRPr="00CC6D8A" w:rsidRDefault="00DB435F" w:rsidP="009E6485">
      <w:pPr>
        <w:numPr>
          <w:ilvl w:val="0"/>
          <w:numId w:val="18"/>
        </w:numPr>
        <w:spacing w:after="0" w:line="360" w:lineRule="auto"/>
      </w:pPr>
      <w:hyperlink r:id="rId28" w:history="1">
        <w:r w:rsidR="009E6485" w:rsidRPr="00CC6D8A">
          <w:rPr>
            <w:rStyle w:val="Hiperligao"/>
          </w:rPr>
          <w:t>http://www.finbolsa.com/signrac1.asp</w:t>
        </w:r>
      </w:hyperlink>
    </w:p>
    <w:p w:rsidR="009E6485" w:rsidRPr="00CC6D8A" w:rsidRDefault="00DB435F" w:rsidP="009E6485">
      <w:pPr>
        <w:numPr>
          <w:ilvl w:val="0"/>
          <w:numId w:val="18"/>
        </w:numPr>
        <w:spacing w:after="0" w:line="360" w:lineRule="auto"/>
      </w:pPr>
      <w:hyperlink r:id="rId29" w:history="1">
        <w:r w:rsidR="009E6485" w:rsidRPr="00CC6D8A">
          <w:rPr>
            <w:rStyle w:val="Hiperligao"/>
          </w:rPr>
          <w:t>http://portal-gestao.com/financas/racios-de-gestao/2291-racios-de-rentabilidade.html</w:t>
        </w:r>
      </w:hyperlink>
    </w:p>
    <w:p w:rsidR="009E6485" w:rsidRPr="00CC6D8A" w:rsidRDefault="00DB435F" w:rsidP="009E6485">
      <w:pPr>
        <w:numPr>
          <w:ilvl w:val="0"/>
          <w:numId w:val="18"/>
        </w:numPr>
        <w:spacing w:after="0" w:line="360" w:lineRule="auto"/>
      </w:pPr>
      <w:hyperlink r:id="rId30" w:history="1">
        <w:r w:rsidR="009E6485" w:rsidRPr="00CC6D8A">
          <w:rPr>
            <w:rStyle w:val="Hiperligao"/>
          </w:rPr>
          <w:t>http://portal-gestao.com/financas/racios-de-gestao/2415-racios-financeiros.html</w:t>
        </w:r>
      </w:hyperlink>
    </w:p>
    <w:p w:rsidR="009E6485" w:rsidRPr="00CC6D8A" w:rsidRDefault="00DB435F" w:rsidP="009E6485">
      <w:pPr>
        <w:numPr>
          <w:ilvl w:val="0"/>
          <w:numId w:val="18"/>
        </w:numPr>
        <w:spacing w:after="0" w:line="360" w:lineRule="auto"/>
      </w:pPr>
      <w:hyperlink r:id="rId31" w:history="1">
        <w:r w:rsidR="009E6485" w:rsidRPr="00CC6D8A">
          <w:rPr>
            <w:rStyle w:val="Hiperligao"/>
          </w:rPr>
          <w:t>http://portal-gestao.com/financas/racios-de-gestao/2295-racios-de-funcionamento.html</w:t>
        </w:r>
      </w:hyperlink>
    </w:p>
    <w:p w:rsidR="009E6485" w:rsidRDefault="00DB435F" w:rsidP="009E6485">
      <w:pPr>
        <w:numPr>
          <w:ilvl w:val="0"/>
          <w:numId w:val="18"/>
        </w:numPr>
        <w:spacing w:after="0" w:line="360" w:lineRule="auto"/>
      </w:pPr>
      <w:hyperlink r:id="rId32" w:history="1">
        <w:r w:rsidR="009E6485" w:rsidRPr="00CC6D8A">
          <w:rPr>
            <w:rStyle w:val="Hiperligao"/>
          </w:rPr>
          <w:t>http://portal-gestao.com/financas/racios-de-gestao/2293-racios-de-liquidez.html</w:t>
        </w:r>
      </w:hyperlink>
    </w:p>
    <w:p w:rsidR="00B85C3A" w:rsidRPr="00506256" w:rsidRDefault="00B85C3A" w:rsidP="009E6485">
      <w:pPr>
        <w:pStyle w:val="PargrafodaLista"/>
        <w:spacing w:after="0" w:line="360" w:lineRule="auto"/>
        <w:jc w:val="both"/>
      </w:pPr>
    </w:p>
    <w:sectPr w:rsidR="00B85C3A" w:rsidRPr="00506256" w:rsidSect="00474D73">
      <w:footerReference w:type="default" r:id="rId33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E76" w:rsidRDefault="00CC6E76" w:rsidP="00661A01">
      <w:pPr>
        <w:spacing w:after="0" w:line="240" w:lineRule="auto"/>
      </w:pPr>
      <w:r>
        <w:separator/>
      </w:r>
    </w:p>
  </w:endnote>
  <w:endnote w:type="continuationSeparator" w:id="0">
    <w:p w:rsidR="00CC6E76" w:rsidRDefault="00CC6E76" w:rsidP="00661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ouvenir Lt B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D73" w:rsidRDefault="00474D73">
    <w:pPr>
      <w:pStyle w:val="Rodap"/>
      <w:jc w:val="right"/>
    </w:pPr>
  </w:p>
  <w:p w:rsidR="00474D73" w:rsidRDefault="00474D7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7740"/>
      <w:docPartObj>
        <w:docPartGallery w:val="Page Numbers (Bottom of Page)"/>
        <w:docPartUnique/>
      </w:docPartObj>
    </w:sdtPr>
    <w:sdtContent>
      <w:p w:rsidR="00474D73" w:rsidRDefault="00474D73">
        <w:pPr>
          <w:pStyle w:val="Rodap"/>
          <w:jc w:val="right"/>
        </w:pPr>
      </w:p>
      <w:p w:rsidR="00474D73" w:rsidRDefault="00DB435F">
        <w:pPr>
          <w:pStyle w:val="Rodap"/>
          <w:jc w:val="right"/>
        </w:pPr>
        <w:fldSimple w:instr=" PAGE   \* MERGEFORMAT ">
          <w:r w:rsidR="00A15EFB">
            <w:rPr>
              <w:noProof/>
            </w:rPr>
            <w:t>1</w:t>
          </w:r>
        </w:fldSimple>
      </w:p>
    </w:sdtContent>
  </w:sdt>
  <w:p w:rsidR="00474D73" w:rsidRDefault="00474D7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E76" w:rsidRDefault="00CC6E76" w:rsidP="00661A01">
      <w:pPr>
        <w:spacing w:after="0" w:line="240" w:lineRule="auto"/>
      </w:pPr>
      <w:r>
        <w:separator/>
      </w:r>
    </w:p>
  </w:footnote>
  <w:footnote w:type="continuationSeparator" w:id="0">
    <w:p w:rsidR="00CC6E76" w:rsidRDefault="00CC6E76" w:rsidP="00661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D73" w:rsidRDefault="00474D73">
    <w:pPr>
      <w:pStyle w:val="Cabealho"/>
    </w:pPr>
    <w:r w:rsidRPr="00474D73">
      <w:rPr>
        <w:noProof/>
        <w:lang w:eastAsia="pt-P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-536575</wp:posOffset>
          </wp:positionH>
          <wp:positionV relativeFrom="paragraph">
            <wp:posOffset>-322580</wp:posOffset>
          </wp:positionV>
          <wp:extent cx="1411605" cy="723265"/>
          <wp:effectExtent l="19050" t="0" r="0" b="0"/>
          <wp:wrapSquare wrapText="bothSides"/>
          <wp:docPr id="14" name="Imagem 1" descr="variante_fil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variante_file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605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74D73">
      <w:rPr>
        <w:noProof/>
        <w:lang w:eastAsia="pt-P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4369435</wp:posOffset>
          </wp:positionH>
          <wp:positionV relativeFrom="paragraph">
            <wp:posOffset>-187325</wp:posOffset>
          </wp:positionV>
          <wp:extent cx="1626870" cy="405130"/>
          <wp:effectExtent l="19050" t="0" r="0" b="0"/>
          <wp:wrapSquare wrapText="bothSides"/>
          <wp:docPr id="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870" cy="405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7074D"/>
    <w:multiLevelType w:val="hybridMultilevel"/>
    <w:tmpl w:val="9A5C329C"/>
    <w:lvl w:ilvl="0" w:tplc="6EC4C200">
      <w:start w:val="1"/>
      <w:numFmt w:val="bullet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83B1B"/>
    <w:multiLevelType w:val="hybridMultilevel"/>
    <w:tmpl w:val="C08A19FA"/>
    <w:lvl w:ilvl="0" w:tplc="7A3CE0B8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4E861DE"/>
    <w:multiLevelType w:val="hybridMultilevel"/>
    <w:tmpl w:val="5F6AE31A"/>
    <w:lvl w:ilvl="0" w:tplc="96D84D00">
      <w:start w:val="1"/>
      <w:numFmt w:val="bullet"/>
      <w:lvlText w:val=""/>
      <w:lvlJc w:val="left"/>
      <w:pPr>
        <w:ind w:left="0" w:firstLine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243593"/>
    <w:multiLevelType w:val="hybridMultilevel"/>
    <w:tmpl w:val="D298CECC"/>
    <w:lvl w:ilvl="0" w:tplc="9872D74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FE46E4"/>
    <w:multiLevelType w:val="hybridMultilevel"/>
    <w:tmpl w:val="BDDAEAC8"/>
    <w:lvl w:ilvl="0" w:tplc="D46E3F62">
      <w:start w:val="1"/>
      <w:numFmt w:val="bullet"/>
      <w:lvlText w:val="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EE7253"/>
    <w:multiLevelType w:val="multilevel"/>
    <w:tmpl w:val="45BA88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2.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DCF3924"/>
    <w:multiLevelType w:val="multilevel"/>
    <w:tmpl w:val="8A8CBC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1.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4C55FBE"/>
    <w:multiLevelType w:val="hybridMultilevel"/>
    <w:tmpl w:val="799E0C6C"/>
    <w:lvl w:ilvl="0" w:tplc="7F4E408A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  <w:color w:val="96009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803F4B"/>
    <w:multiLevelType w:val="hybridMultilevel"/>
    <w:tmpl w:val="AF946FAC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DA7A97"/>
    <w:multiLevelType w:val="hybridMultilevel"/>
    <w:tmpl w:val="9426F30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665357"/>
    <w:multiLevelType w:val="hybridMultilevel"/>
    <w:tmpl w:val="D58C0478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93A23BC"/>
    <w:multiLevelType w:val="hybridMultilevel"/>
    <w:tmpl w:val="BC661330"/>
    <w:lvl w:ilvl="0" w:tplc="7A3CE0B8">
      <w:start w:val="1"/>
      <w:numFmt w:val="bullet"/>
      <w:lvlText w:val=""/>
      <w:lvlJc w:val="left"/>
      <w:pPr>
        <w:ind w:left="0" w:firstLine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4A02A9"/>
    <w:multiLevelType w:val="hybridMultilevel"/>
    <w:tmpl w:val="62AE1AC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8523CB"/>
    <w:multiLevelType w:val="hybridMultilevel"/>
    <w:tmpl w:val="A5509362"/>
    <w:lvl w:ilvl="0" w:tplc="08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2706854"/>
    <w:multiLevelType w:val="hybridMultilevel"/>
    <w:tmpl w:val="693A62AA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72323AC"/>
    <w:multiLevelType w:val="hybridMultilevel"/>
    <w:tmpl w:val="053E9586"/>
    <w:lvl w:ilvl="0" w:tplc="0816000F">
      <w:start w:val="1"/>
      <w:numFmt w:val="decimal"/>
      <w:lvlText w:val="%1."/>
      <w:lvlJc w:val="left"/>
      <w:pPr>
        <w:ind w:left="786" w:hanging="360"/>
      </w:p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9A8406C"/>
    <w:multiLevelType w:val="multilevel"/>
    <w:tmpl w:val="EC145ED2"/>
    <w:lvl w:ilvl="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2.1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>
    <w:nsid w:val="62CB47D0"/>
    <w:multiLevelType w:val="hybridMultilevel"/>
    <w:tmpl w:val="681A3F64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0B10977"/>
    <w:multiLevelType w:val="hybridMultilevel"/>
    <w:tmpl w:val="7FE27756"/>
    <w:lvl w:ilvl="0" w:tplc="081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8"/>
  </w:num>
  <w:num w:numId="4">
    <w:abstractNumId w:val="18"/>
  </w:num>
  <w:num w:numId="5">
    <w:abstractNumId w:val="14"/>
  </w:num>
  <w:num w:numId="6">
    <w:abstractNumId w:val="12"/>
  </w:num>
  <w:num w:numId="7">
    <w:abstractNumId w:val="16"/>
  </w:num>
  <w:num w:numId="8">
    <w:abstractNumId w:val="6"/>
  </w:num>
  <w:num w:numId="9">
    <w:abstractNumId w:val="3"/>
  </w:num>
  <w:num w:numId="10">
    <w:abstractNumId w:val="7"/>
  </w:num>
  <w:num w:numId="11">
    <w:abstractNumId w:val="5"/>
  </w:num>
  <w:num w:numId="12">
    <w:abstractNumId w:val="13"/>
  </w:num>
  <w:num w:numId="13">
    <w:abstractNumId w:val="11"/>
  </w:num>
  <w:num w:numId="14">
    <w:abstractNumId w:val="4"/>
  </w:num>
  <w:num w:numId="15">
    <w:abstractNumId w:val="15"/>
  </w:num>
  <w:num w:numId="16">
    <w:abstractNumId w:val="10"/>
  </w:num>
  <w:num w:numId="17">
    <w:abstractNumId w:val="1"/>
  </w:num>
  <w:num w:numId="18">
    <w:abstractNumId w:val="9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D002B2"/>
    <w:rsid w:val="000023F9"/>
    <w:rsid w:val="000274A5"/>
    <w:rsid w:val="00050EF6"/>
    <w:rsid w:val="00067525"/>
    <w:rsid w:val="000802AD"/>
    <w:rsid w:val="000B3B69"/>
    <w:rsid w:val="000D3D6D"/>
    <w:rsid w:val="000D74CD"/>
    <w:rsid w:val="000F10EA"/>
    <w:rsid w:val="0010081E"/>
    <w:rsid w:val="00134B82"/>
    <w:rsid w:val="00157484"/>
    <w:rsid w:val="00167DE9"/>
    <w:rsid w:val="00184202"/>
    <w:rsid w:val="001A5E4D"/>
    <w:rsid w:val="00231145"/>
    <w:rsid w:val="00233924"/>
    <w:rsid w:val="00244D9B"/>
    <w:rsid w:val="00274C5F"/>
    <w:rsid w:val="002A2EEE"/>
    <w:rsid w:val="002A416A"/>
    <w:rsid w:val="002D4BD7"/>
    <w:rsid w:val="002D53ED"/>
    <w:rsid w:val="002D7593"/>
    <w:rsid w:val="00360F74"/>
    <w:rsid w:val="00385BC8"/>
    <w:rsid w:val="003A44CE"/>
    <w:rsid w:val="003B7933"/>
    <w:rsid w:val="003F20C8"/>
    <w:rsid w:val="00414B48"/>
    <w:rsid w:val="00461FBD"/>
    <w:rsid w:val="00474D73"/>
    <w:rsid w:val="0049711D"/>
    <w:rsid w:val="00506256"/>
    <w:rsid w:val="005362A8"/>
    <w:rsid w:val="00546128"/>
    <w:rsid w:val="00546F8B"/>
    <w:rsid w:val="0055263F"/>
    <w:rsid w:val="00555280"/>
    <w:rsid w:val="005573B5"/>
    <w:rsid w:val="0058181A"/>
    <w:rsid w:val="00585A7B"/>
    <w:rsid w:val="005E310B"/>
    <w:rsid w:val="005F50B7"/>
    <w:rsid w:val="00606939"/>
    <w:rsid w:val="00627EFF"/>
    <w:rsid w:val="00647F11"/>
    <w:rsid w:val="00661A01"/>
    <w:rsid w:val="006678AA"/>
    <w:rsid w:val="00693D80"/>
    <w:rsid w:val="006B399A"/>
    <w:rsid w:val="006C3198"/>
    <w:rsid w:val="006F21F7"/>
    <w:rsid w:val="007264AD"/>
    <w:rsid w:val="007319B1"/>
    <w:rsid w:val="007334F4"/>
    <w:rsid w:val="00766CF1"/>
    <w:rsid w:val="00771E85"/>
    <w:rsid w:val="007B2758"/>
    <w:rsid w:val="007B3F8A"/>
    <w:rsid w:val="008333E3"/>
    <w:rsid w:val="0083657C"/>
    <w:rsid w:val="00915F5A"/>
    <w:rsid w:val="0094439B"/>
    <w:rsid w:val="00980A36"/>
    <w:rsid w:val="0098639E"/>
    <w:rsid w:val="009B5DD4"/>
    <w:rsid w:val="009E6485"/>
    <w:rsid w:val="00A03A28"/>
    <w:rsid w:val="00A073F2"/>
    <w:rsid w:val="00A15EFB"/>
    <w:rsid w:val="00A2454A"/>
    <w:rsid w:val="00A328B8"/>
    <w:rsid w:val="00A33B6B"/>
    <w:rsid w:val="00A56EAC"/>
    <w:rsid w:val="00A86660"/>
    <w:rsid w:val="00A9566D"/>
    <w:rsid w:val="00B162E3"/>
    <w:rsid w:val="00B17695"/>
    <w:rsid w:val="00B27F14"/>
    <w:rsid w:val="00B7340D"/>
    <w:rsid w:val="00B85C3A"/>
    <w:rsid w:val="00BA2D11"/>
    <w:rsid w:val="00C00568"/>
    <w:rsid w:val="00C05CE5"/>
    <w:rsid w:val="00C262C3"/>
    <w:rsid w:val="00C41A3D"/>
    <w:rsid w:val="00C423B4"/>
    <w:rsid w:val="00CC198E"/>
    <w:rsid w:val="00CC6E76"/>
    <w:rsid w:val="00CE0D85"/>
    <w:rsid w:val="00D002B2"/>
    <w:rsid w:val="00D036BD"/>
    <w:rsid w:val="00D57DEB"/>
    <w:rsid w:val="00D73446"/>
    <w:rsid w:val="00DB435F"/>
    <w:rsid w:val="00DB65C5"/>
    <w:rsid w:val="00DD5206"/>
    <w:rsid w:val="00DE6221"/>
    <w:rsid w:val="00DF4DBE"/>
    <w:rsid w:val="00DF5FA2"/>
    <w:rsid w:val="00E05BE6"/>
    <w:rsid w:val="00E779C6"/>
    <w:rsid w:val="00E914A6"/>
    <w:rsid w:val="00EB5903"/>
    <w:rsid w:val="00ED2A00"/>
    <w:rsid w:val="00ED2AFE"/>
    <w:rsid w:val="00EE41BE"/>
    <w:rsid w:val="00EE4E19"/>
    <w:rsid w:val="00EE7B2D"/>
    <w:rsid w:val="00F05150"/>
    <w:rsid w:val="00F1074A"/>
    <w:rsid w:val="00F23FFF"/>
    <w:rsid w:val="00F94DAF"/>
    <w:rsid w:val="00FC2839"/>
    <w:rsid w:val="00FD487B"/>
    <w:rsid w:val="00FD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57C"/>
  </w:style>
  <w:style w:type="paragraph" w:styleId="Ttulo1">
    <w:name w:val="heading 1"/>
    <w:basedOn w:val="Normal"/>
    <w:next w:val="Normal"/>
    <w:link w:val="Ttulo1Carcter"/>
    <w:uiPriority w:val="9"/>
    <w:qFormat/>
    <w:rsid w:val="00D57DEB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color w:val="7030A0"/>
      <w:sz w:val="32"/>
      <w:szCs w:val="28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D57DEB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color w:val="7030A0"/>
      <w:sz w:val="24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D57DEB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color w:val="7030A0"/>
    </w:r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D57DEB"/>
    <w:pPr>
      <w:keepNext/>
      <w:keepLines/>
      <w:spacing w:before="200" w:after="0"/>
      <w:outlineLvl w:val="3"/>
    </w:pPr>
    <w:rPr>
      <w:rFonts w:ascii="Times New Roman" w:eastAsiaTheme="majorEastAsia" w:hAnsi="Times New Roman" w:cstheme="majorBidi"/>
      <w:b/>
      <w:bCs/>
      <w:iCs/>
      <w:color w:val="7030A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D57DEB"/>
    <w:rPr>
      <w:rFonts w:ascii="Times New Roman" w:eastAsiaTheme="majorEastAsia" w:hAnsi="Times New Roman" w:cstheme="majorBidi"/>
      <w:b/>
      <w:bCs/>
      <w:color w:val="7030A0"/>
      <w:sz w:val="32"/>
      <w:szCs w:val="28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D57DEB"/>
    <w:rPr>
      <w:rFonts w:ascii="Times New Roman" w:eastAsiaTheme="majorEastAsia" w:hAnsi="Times New Roman" w:cstheme="majorBidi"/>
      <w:b/>
      <w:bCs/>
      <w:color w:val="7030A0"/>
      <w:sz w:val="24"/>
      <w:szCs w:val="26"/>
    </w:rPr>
  </w:style>
  <w:style w:type="paragraph" w:styleId="Cabealho">
    <w:name w:val="header"/>
    <w:basedOn w:val="Normal"/>
    <w:link w:val="CabealhoCarcter"/>
    <w:uiPriority w:val="99"/>
    <w:unhideWhenUsed/>
    <w:rsid w:val="00661A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661A01"/>
  </w:style>
  <w:style w:type="paragraph" w:styleId="Rodap">
    <w:name w:val="footer"/>
    <w:basedOn w:val="Normal"/>
    <w:link w:val="RodapCarcter"/>
    <w:uiPriority w:val="99"/>
    <w:unhideWhenUsed/>
    <w:rsid w:val="00661A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661A01"/>
  </w:style>
  <w:style w:type="paragraph" w:styleId="Textodebalo">
    <w:name w:val="Balloon Text"/>
    <w:basedOn w:val="Normal"/>
    <w:link w:val="TextodebaloCarcter"/>
    <w:uiPriority w:val="99"/>
    <w:semiHidden/>
    <w:unhideWhenUsed/>
    <w:rsid w:val="00F05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0515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05150"/>
    <w:pPr>
      <w:ind w:left="720"/>
      <w:contextualSpacing/>
    </w:pPr>
  </w:style>
  <w:style w:type="paragraph" w:styleId="Legenda">
    <w:name w:val="caption"/>
    <w:basedOn w:val="Normal"/>
    <w:next w:val="Normal"/>
    <w:uiPriority w:val="35"/>
    <w:unhideWhenUsed/>
    <w:qFormat/>
    <w:rsid w:val="00A33B6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orpodetexto">
    <w:name w:val="Body Text"/>
    <w:basedOn w:val="Normal"/>
    <w:link w:val="CorpodetextoCarcter"/>
    <w:uiPriority w:val="99"/>
    <w:semiHidden/>
    <w:unhideWhenUsed/>
    <w:rsid w:val="00F94DA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rsid w:val="00F94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57">
    <w:name w:val="xl57"/>
    <w:basedOn w:val="Normal"/>
    <w:rsid w:val="009B5DD4"/>
    <w:pPr>
      <w:pBdr>
        <w:right w:val="double" w:sz="6" w:space="0" w:color="FFFFFF"/>
      </w:pBdr>
      <w:spacing w:before="100" w:beforeAutospacing="1" w:after="100" w:afterAutospacing="1" w:line="240" w:lineRule="auto"/>
    </w:pPr>
    <w:rPr>
      <w:rFonts w:ascii="Souvenir Lt BT" w:eastAsia="Arial Unicode MS" w:hAnsi="Souvenir Lt BT" w:cs="Arial Unicode MS"/>
      <w:sz w:val="24"/>
      <w:szCs w:val="24"/>
      <w:lang w:eastAsia="pt-PT"/>
    </w:rPr>
  </w:style>
  <w:style w:type="paragraph" w:styleId="Corpodetexto2">
    <w:name w:val="Body Text 2"/>
    <w:basedOn w:val="Normal"/>
    <w:link w:val="Corpodetexto2Carcter"/>
    <w:uiPriority w:val="99"/>
    <w:unhideWhenUsed/>
    <w:rsid w:val="006678A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2Carcter">
    <w:name w:val="Corpo de texto 2 Carácter"/>
    <w:basedOn w:val="Tipodeletrapredefinidodopargrafo"/>
    <w:link w:val="Corpodetexto2"/>
    <w:uiPriority w:val="99"/>
    <w:rsid w:val="006678A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vanodecorpodetexto">
    <w:name w:val="Body Text Indent"/>
    <w:basedOn w:val="Normal"/>
    <w:link w:val="AvanodecorpodetextoCarcter"/>
    <w:uiPriority w:val="99"/>
    <w:semiHidden/>
    <w:unhideWhenUsed/>
    <w:rsid w:val="00A328B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vanodecorpodetextoCarcter">
    <w:name w:val="Avanço de corpo de texto Carácter"/>
    <w:basedOn w:val="Tipodeletrapredefinidodopargrafo"/>
    <w:link w:val="Avanodecorpodetexto"/>
    <w:uiPriority w:val="99"/>
    <w:semiHidden/>
    <w:rsid w:val="00A328B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ligao">
    <w:name w:val="Hyperlink"/>
    <w:basedOn w:val="Tipodeletrapredefinidodopargrafo"/>
    <w:uiPriority w:val="99"/>
    <w:unhideWhenUsed/>
    <w:rsid w:val="00B85C3A"/>
    <w:rPr>
      <w:color w:val="0000FF" w:themeColor="hyperlink"/>
      <w:u w:val="single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D57DEB"/>
    <w:rPr>
      <w:rFonts w:ascii="Times New Roman" w:eastAsiaTheme="majorEastAsia" w:hAnsi="Times New Roman" w:cstheme="majorBidi"/>
      <w:b/>
      <w:bCs/>
      <w:color w:val="7030A0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D57DEB"/>
    <w:rPr>
      <w:rFonts w:ascii="Times New Roman" w:eastAsiaTheme="majorEastAsia" w:hAnsi="Times New Roman" w:cstheme="majorBidi"/>
      <w:b/>
      <w:bCs/>
      <w:iCs/>
      <w:color w:val="7030A0"/>
    </w:rPr>
  </w:style>
  <w:style w:type="paragraph" w:styleId="Ttulodondice">
    <w:name w:val="TOC Heading"/>
    <w:basedOn w:val="Ttulo1"/>
    <w:next w:val="Normal"/>
    <w:uiPriority w:val="39"/>
    <w:unhideWhenUsed/>
    <w:qFormat/>
    <w:rsid w:val="00474D73"/>
    <w:pPr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ndice1">
    <w:name w:val="toc 1"/>
    <w:basedOn w:val="Normal"/>
    <w:next w:val="Normal"/>
    <w:autoRedefine/>
    <w:uiPriority w:val="39"/>
    <w:unhideWhenUsed/>
    <w:rsid w:val="00474D73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474D73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474D73"/>
    <w:pPr>
      <w:spacing w:after="100"/>
      <w:ind w:left="440"/>
    </w:pPr>
  </w:style>
</w:styles>
</file>

<file path=word/stylesWithEffects.xml><?xml version="1.0" encoding="utf-8"?>
<w:styles xmlns:wpc="http://schemas.microsoft.com/office/word/2008/6/28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08/9/16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09/2/wordml" xmlns:wpg="http://schemas.microsoft.com/office/word/2008/6/28/wordprocessingGroup" xmlns:wpi="http://schemas.microsoft.com/office/word/2008/6/28/wordprocessingInk" xmlns:wne="http://schemas.microsoft.com/office/word/2006/wordml" xmlns:wps="http://schemas.microsoft.com/office/word/2008/6/28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02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1A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2B2"/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61A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661A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A01"/>
  </w:style>
  <w:style w:type="paragraph" w:styleId="Footer">
    <w:name w:val="footer"/>
    <w:basedOn w:val="Normal"/>
    <w:link w:val="FooterChar"/>
    <w:uiPriority w:val="99"/>
    <w:unhideWhenUsed/>
    <w:rsid w:val="00661A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A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png"/><Relationship Id="rId26" Type="http://schemas.openxmlformats.org/officeDocument/2006/relationships/hyperlink" Target="http://www.compta.pt" TargetMode="External"/><Relationship Id="rId3" Type="http://schemas.openxmlformats.org/officeDocument/2006/relationships/numbering" Target="numbering.xml"/><Relationship Id="rId21" Type="http://schemas.openxmlformats.org/officeDocument/2006/relationships/chart" Target="charts/chart1.xm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png"/><Relationship Id="rId25" Type="http://schemas.openxmlformats.org/officeDocument/2006/relationships/chart" Target="charts/chart5.xml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8.emf"/><Relationship Id="rId20" Type="http://schemas.openxmlformats.org/officeDocument/2006/relationships/image" Target="media/image12.png"/><Relationship Id="rId29" Type="http://schemas.openxmlformats.org/officeDocument/2006/relationships/hyperlink" Target="http://portal-gestao.com/financas/racios-de-gestao/2291-racios-de-rentabilidade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chart" Target="charts/chart4.xml"/><Relationship Id="rId32" Type="http://schemas.openxmlformats.org/officeDocument/2006/relationships/hyperlink" Target="http://portal-gestao.com/financas/racios-de-gestao/2293-racios-de-liquidez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chart" Target="charts/chart3.xml"/><Relationship Id="rId28" Type="http://schemas.openxmlformats.org/officeDocument/2006/relationships/hyperlink" Target="http://www.finbolsa.com/signrac1.asp" TargetMode="External"/><Relationship Id="rId36" Type="http://schemas.microsoft.com/office/2006/relationships/stylesWithtEffects" Target="stylesWithEffects.xml"/><Relationship Id="rId10" Type="http://schemas.openxmlformats.org/officeDocument/2006/relationships/footer" Target="footer1.xml"/><Relationship Id="rId19" Type="http://schemas.openxmlformats.org/officeDocument/2006/relationships/image" Target="media/image11.png"/><Relationship Id="rId31" Type="http://schemas.openxmlformats.org/officeDocument/2006/relationships/hyperlink" Target="http://portal-gestao.com/financas/racios-de-gestao/2295-racios-de-funcionamento.html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6.emf"/><Relationship Id="rId22" Type="http://schemas.openxmlformats.org/officeDocument/2006/relationships/chart" Target="charts/chart2.xml"/><Relationship Id="rId27" Type="http://schemas.openxmlformats.org/officeDocument/2006/relationships/hyperlink" Target="http://www.finbolsa.com/signdef.asp" TargetMode="External"/><Relationship Id="rId30" Type="http://schemas.openxmlformats.org/officeDocument/2006/relationships/hyperlink" Target="http://portal-gestao.com/financas/racios-de-gestao/2415-racios-financeiros.html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olha_de_C_lculo_do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olha_de_C_lculo_do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olha_de_C_lculo_do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olha_de_C_lculo_do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olha_de_C_lculo_do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PT"/>
  <c:style val="30"/>
  <c:chart>
    <c:plotArea>
      <c:layout/>
      <c:barChart>
        <c:barDir val="col"/>
        <c:grouping val="clustered"/>
        <c:ser>
          <c:idx val="0"/>
          <c:order val="0"/>
          <c:tx>
            <c:strRef>
              <c:f>Folha1!$B$1</c:f>
              <c:strCache>
                <c:ptCount val="1"/>
                <c:pt idx="0">
                  <c:v>PMR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Folha1!$B$2:$B$5</c:f>
              <c:numCache>
                <c:formatCode>General</c:formatCode>
                <c:ptCount val="4"/>
                <c:pt idx="0">
                  <c:v>100.24000000000002</c:v>
                </c:pt>
                <c:pt idx="1">
                  <c:v>61.96</c:v>
                </c:pt>
                <c:pt idx="2">
                  <c:v>87.910000000000025</c:v>
                </c:pt>
                <c:pt idx="3">
                  <c:v>121.04</c:v>
                </c:pt>
              </c:numCache>
            </c:numRef>
          </c:val>
        </c:ser>
        <c:ser>
          <c:idx val="1"/>
          <c:order val="1"/>
          <c:tx>
            <c:strRef>
              <c:f>Folha1!$C$1</c:f>
              <c:strCache>
                <c:ptCount val="1"/>
                <c:pt idx="0">
                  <c:v>PMP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Folha1!$C$2:$C$5</c:f>
              <c:numCache>
                <c:formatCode>General</c:formatCode>
                <c:ptCount val="4"/>
                <c:pt idx="0">
                  <c:v>386.77</c:v>
                </c:pt>
                <c:pt idx="1">
                  <c:v>261.16000000000008</c:v>
                </c:pt>
                <c:pt idx="2">
                  <c:v>752.5</c:v>
                </c:pt>
                <c:pt idx="3">
                  <c:v>290.32</c:v>
                </c:pt>
              </c:numCache>
            </c:numRef>
          </c:val>
        </c:ser>
        <c:axId val="39784448"/>
        <c:axId val="39785984"/>
      </c:barChart>
      <c:catAx>
        <c:axId val="39784448"/>
        <c:scaling>
          <c:orientation val="minMax"/>
        </c:scaling>
        <c:axPos val="b"/>
        <c:numFmt formatCode="General" sourceLinked="1"/>
        <c:tickLblPos val="nextTo"/>
        <c:crossAx val="39785984"/>
        <c:crosses val="autoZero"/>
        <c:auto val="1"/>
        <c:lblAlgn val="ctr"/>
        <c:lblOffset val="100"/>
      </c:catAx>
      <c:valAx>
        <c:axId val="39785984"/>
        <c:scaling>
          <c:orientation val="minMax"/>
        </c:scaling>
        <c:axPos val="l"/>
        <c:majorGridlines/>
        <c:numFmt formatCode="General" sourceLinked="1"/>
        <c:tickLblPos val="nextTo"/>
        <c:crossAx val="3978444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PT"/>
  <c:style val="30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Folha1!$B$1</c:f>
              <c:strCache>
                <c:ptCount val="1"/>
                <c:pt idx="0">
                  <c:v>Produtividade do Equipamento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Folha1!$B$2:$B$5</c:f>
              <c:numCache>
                <c:formatCode>General</c:formatCode>
                <c:ptCount val="4"/>
                <c:pt idx="0">
                  <c:v>0.94000000000000061</c:v>
                </c:pt>
                <c:pt idx="1">
                  <c:v>0.70000000000000062</c:v>
                </c:pt>
                <c:pt idx="2">
                  <c:v>0.49000000000000032</c:v>
                </c:pt>
                <c:pt idx="3">
                  <c:v>0.44</c:v>
                </c:pt>
              </c:numCache>
            </c:numRef>
          </c:val>
        </c:ser>
        <c:ser>
          <c:idx val="1"/>
          <c:order val="1"/>
          <c:tx>
            <c:strRef>
              <c:f>Folha1!$C$1</c:f>
              <c:strCache>
                <c:ptCount val="1"/>
                <c:pt idx="0">
                  <c:v>Produtividade do Trabalho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Folha1!$C$2:$C$5</c:f>
              <c:numCache>
                <c:formatCode>General</c:formatCode>
                <c:ptCount val="4"/>
                <c:pt idx="0">
                  <c:v>39801.760000000002</c:v>
                </c:pt>
                <c:pt idx="1">
                  <c:v>30362.280000000021</c:v>
                </c:pt>
                <c:pt idx="2">
                  <c:v>21967.27</c:v>
                </c:pt>
                <c:pt idx="3">
                  <c:v>21079</c:v>
                </c:pt>
              </c:numCache>
            </c:numRef>
          </c:val>
        </c:ser>
        <c:gapWidth val="75"/>
        <c:axId val="40723584"/>
        <c:axId val="40725120"/>
      </c:barChart>
      <c:catAx>
        <c:axId val="40723584"/>
        <c:scaling>
          <c:orientation val="minMax"/>
        </c:scaling>
        <c:axPos val="b"/>
        <c:numFmt formatCode="General" sourceLinked="1"/>
        <c:majorTickMark val="none"/>
        <c:tickLblPos val="nextTo"/>
        <c:crossAx val="40725120"/>
        <c:crosses val="autoZero"/>
        <c:auto val="1"/>
        <c:lblAlgn val="ctr"/>
        <c:lblOffset val="100"/>
      </c:catAx>
      <c:valAx>
        <c:axId val="40725120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40723584"/>
        <c:crosses val="autoZero"/>
        <c:crossBetween val="between"/>
      </c:valAx>
    </c:plotArea>
    <c:legend>
      <c:legendPos val="b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PT"/>
  <c:chart>
    <c:plotArea>
      <c:layout/>
      <c:barChart>
        <c:barDir val="col"/>
        <c:grouping val="clustered"/>
        <c:ser>
          <c:idx val="0"/>
          <c:order val="0"/>
          <c:tx>
            <c:strRef>
              <c:f>Folha1!$B$1</c:f>
              <c:strCache>
                <c:ptCount val="1"/>
                <c:pt idx="0">
                  <c:v>Liquidez Geral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Folha1!$B$2:$B$5</c:f>
              <c:numCache>
                <c:formatCode>General</c:formatCode>
                <c:ptCount val="4"/>
                <c:pt idx="0">
                  <c:v>50.24</c:v>
                </c:pt>
                <c:pt idx="1">
                  <c:v>49.33</c:v>
                </c:pt>
                <c:pt idx="2">
                  <c:v>0.79</c:v>
                </c:pt>
                <c:pt idx="3">
                  <c:v>0.45</c:v>
                </c:pt>
              </c:numCache>
            </c:numRef>
          </c:val>
        </c:ser>
        <c:ser>
          <c:idx val="1"/>
          <c:order val="1"/>
          <c:tx>
            <c:strRef>
              <c:f>Folha1!$C$1</c:f>
              <c:strCache>
                <c:ptCount val="1"/>
                <c:pt idx="0">
                  <c:v>Liquidez Reduzida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Folha1!$C$2:$C$5</c:f>
              <c:numCache>
                <c:formatCode>General</c:formatCode>
                <c:ptCount val="4"/>
                <c:pt idx="0">
                  <c:v>0.51</c:v>
                </c:pt>
                <c:pt idx="1">
                  <c:v>0.42000000000000032</c:v>
                </c:pt>
                <c:pt idx="2">
                  <c:v>0.41000000000000031</c:v>
                </c:pt>
                <c:pt idx="3">
                  <c:v>0.26</c:v>
                </c:pt>
              </c:numCache>
            </c:numRef>
          </c:val>
        </c:ser>
        <c:ser>
          <c:idx val="2"/>
          <c:order val="2"/>
          <c:tx>
            <c:strRef>
              <c:f>Folha1!$D$1</c:f>
              <c:strCache>
                <c:ptCount val="1"/>
                <c:pt idx="0">
                  <c:v>Liquidez Imediata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Folha1!$D$2:$D$5</c:f>
              <c:numCache>
                <c:formatCode>General</c:formatCode>
                <c:ptCount val="4"/>
                <c:pt idx="0">
                  <c:v>0.05</c:v>
                </c:pt>
                <c:pt idx="1">
                  <c:v>1.0000000000000005E-2</c:v>
                </c:pt>
                <c:pt idx="2">
                  <c:v>2.0000000000000011E-2</c:v>
                </c:pt>
                <c:pt idx="3">
                  <c:v>2.0000000000000011E-2</c:v>
                </c:pt>
              </c:numCache>
            </c:numRef>
          </c:val>
        </c:ser>
        <c:axId val="40759296"/>
        <c:axId val="40760832"/>
      </c:barChart>
      <c:catAx>
        <c:axId val="40759296"/>
        <c:scaling>
          <c:orientation val="minMax"/>
        </c:scaling>
        <c:axPos val="b"/>
        <c:numFmt formatCode="General" sourceLinked="1"/>
        <c:tickLblPos val="nextTo"/>
        <c:crossAx val="40760832"/>
        <c:crosses val="autoZero"/>
        <c:auto val="1"/>
        <c:lblAlgn val="ctr"/>
        <c:lblOffset val="100"/>
      </c:catAx>
      <c:valAx>
        <c:axId val="40760832"/>
        <c:scaling>
          <c:orientation val="minMax"/>
        </c:scaling>
        <c:axPos val="l"/>
        <c:majorGridlines/>
        <c:numFmt formatCode="General" sourceLinked="1"/>
        <c:tickLblPos val="nextTo"/>
        <c:crossAx val="4075929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PT"/>
  <c:style val="30"/>
  <c:chart>
    <c:plotArea>
      <c:layout>
        <c:manualLayout>
          <c:layoutTarget val="inner"/>
          <c:xMode val="edge"/>
          <c:yMode val="edge"/>
          <c:x val="8.8301568136532532E-2"/>
          <c:y val="6.4916426869741625E-2"/>
          <c:w val="0.61894319301338618"/>
          <c:h val="0.91048159899182057"/>
        </c:manualLayout>
      </c:layout>
      <c:barChart>
        <c:barDir val="col"/>
        <c:grouping val="clustered"/>
        <c:ser>
          <c:idx val="0"/>
          <c:order val="0"/>
          <c:tx>
            <c:strRef>
              <c:f>Folha1!$B$1</c:f>
              <c:strCache>
                <c:ptCount val="1"/>
                <c:pt idx="0">
                  <c:v>Autonomia Financeira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Folha1!$B$2:$B$5</c:f>
              <c:numCache>
                <c:formatCode>General</c:formatCode>
                <c:ptCount val="4"/>
                <c:pt idx="0">
                  <c:v>2.0299999999999998</c:v>
                </c:pt>
                <c:pt idx="1">
                  <c:v>-4.38</c:v>
                </c:pt>
                <c:pt idx="2">
                  <c:v>-44.35</c:v>
                </c:pt>
                <c:pt idx="3">
                  <c:v>-58.42</c:v>
                </c:pt>
              </c:numCache>
            </c:numRef>
          </c:val>
        </c:ser>
        <c:ser>
          <c:idx val="1"/>
          <c:order val="1"/>
          <c:tx>
            <c:strRef>
              <c:f>Folha1!$C$1</c:f>
              <c:strCache>
                <c:ptCount val="1"/>
                <c:pt idx="0">
                  <c:v>Endividamento</c:v>
                </c:pt>
              </c:strCache>
            </c:strRef>
          </c:tx>
          <c:cat>
            <c:numRef>
              <c:f>Folha1!$A$2:$A$5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Folha1!$C$2:$C$5</c:f>
              <c:numCache>
                <c:formatCode>General</c:formatCode>
                <c:ptCount val="4"/>
                <c:pt idx="0">
                  <c:v>97.97</c:v>
                </c:pt>
                <c:pt idx="1">
                  <c:v>104.38</c:v>
                </c:pt>
                <c:pt idx="2">
                  <c:v>144.35000000000016</c:v>
                </c:pt>
                <c:pt idx="3">
                  <c:v>158.41999999999999</c:v>
                </c:pt>
              </c:numCache>
            </c:numRef>
          </c:val>
        </c:ser>
        <c:axId val="32781824"/>
        <c:axId val="32783360"/>
      </c:barChart>
      <c:catAx>
        <c:axId val="32781824"/>
        <c:scaling>
          <c:orientation val="minMax"/>
        </c:scaling>
        <c:axPos val="b"/>
        <c:numFmt formatCode="General" sourceLinked="1"/>
        <c:tickLblPos val="nextTo"/>
        <c:crossAx val="32783360"/>
        <c:crosses val="autoZero"/>
        <c:auto val="1"/>
        <c:lblAlgn val="ctr"/>
        <c:lblOffset val="100"/>
      </c:catAx>
      <c:valAx>
        <c:axId val="32783360"/>
        <c:scaling>
          <c:orientation val="minMax"/>
        </c:scaling>
        <c:axPos val="l"/>
        <c:majorGridlines/>
        <c:numFmt formatCode="General" sourceLinked="1"/>
        <c:tickLblPos val="nextTo"/>
        <c:crossAx val="3278182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PT"/>
  <c:style val="30"/>
  <c:chart>
    <c:plotArea>
      <c:layout/>
      <c:barChart>
        <c:barDir val="col"/>
        <c:grouping val="clustered"/>
        <c:ser>
          <c:idx val="0"/>
          <c:order val="0"/>
          <c:tx>
            <c:strRef>
              <c:f>'Folha1'!$B$1</c:f>
              <c:strCache>
                <c:ptCount val="1"/>
                <c:pt idx="0">
                  <c:v>Grau da Alavanca Combinada</c:v>
                </c:pt>
              </c:strCache>
            </c:strRef>
          </c:tx>
          <c:cat>
            <c:numRef>
              <c:f>'Folha1'!$A$2:$A$5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'Folha1'!$B$2:$B$5</c:f>
              <c:numCache>
                <c:formatCode>General</c:formatCode>
                <c:ptCount val="4"/>
                <c:pt idx="0">
                  <c:v>-6.0000000000000032E-2</c:v>
                </c:pt>
                <c:pt idx="1">
                  <c:v>-0.45</c:v>
                </c:pt>
                <c:pt idx="2">
                  <c:v>0.47000000000000008</c:v>
                </c:pt>
                <c:pt idx="3">
                  <c:v>0.19</c:v>
                </c:pt>
              </c:numCache>
            </c:numRef>
          </c:val>
        </c:ser>
        <c:ser>
          <c:idx val="1"/>
          <c:order val="1"/>
          <c:tx>
            <c:strRef>
              <c:f>'Folha1'!$C$1</c:f>
              <c:strCache>
                <c:ptCount val="1"/>
                <c:pt idx="0">
                  <c:v>Grau da Alavanca Fianaceira</c:v>
                </c:pt>
              </c:strCache>
            </c:strRef>
          </c:tx>
          <c:cat>
            <c:numRef>
              <c:f>'Folha1'!$A$2:$A$5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'Folha1'!$C$2:$C$5</c:f>
              <c:numCache>
                <c:formatCode>General</c:formatCode>
                <c:ptCount val="4"/>
                <c:pt idx="0">
                  <c:v>5.22</c:v>
                </c:pt>
                <c:pt idx="1">
                  <c:v>-2.3699999999999997</c:v>
                </c:pt>
                <c:pt idx="2">
                  <c:v>-3.4099999999999997</c:v>
                </c:pt>
                <c:pt idx="3">
                  <c:v>0.34</c:v>
                </c:pt>
              </c:numCache>
            </c:numRef>
          </c:val>
        </c:ser>
        <c:ser>
          <c:idx val="2"/>
          <c:order val="2"/>
          <c:tx>
            <c:strRef>
              <c:f>'Folha1'!$D$1</c:f>
              <c:strCache>
                <c:ptCount val="1"/>
                <c:pt idx="0">
                  <c:v>Grau da Alavanca Operacional</c:v>
                </c:pt>
              </c:strCache>
            </c:strRef>
          </c:tx>
          <c:cat>
            <c:numRef>
              <c:f>'Folha1'!$A$2:$A$5</c:f>
              <c:numCache>
                <c:formatCode>General</c:formatCode>
                <c:ptCount val="4"/>
                <c:pt idx="0">
                  <c:v>2009</c:v>
                </c:pt>
                <c:pt idx="1">
                  <c:v>2008</c:v>
                </c:pt>
                <c:pt idx="2">
                  <c:v>2007</c:v>
                </c:pt>
                <c:pt idx="3">
                  <c:v>2006</c:v>
                </c:pt>
              </c:numCache>
            </c:numRef>
          </c:cat>
          <c:val>
            <c:numRef>
              <c:f>'Folha1'!$D$2:$D$5</c:f>
              <c:numCache>
                <c:formatCode>General</c:formatCode>
                <c:ptCount val="4"/>
                <c:pt idx="0">
                  <c:v>-1.0000000000000005E-2</c:v>
                </c:pt>
                <c:pt idx="1">
                  <c:v>0.19</c:v>
                </c:pt>
                <c:pt idx="2">
                  <c:v>0.14000000000000001</c:v>
                </c:pt>
                <c:pt idx="3">
                  <c:v>0.34</c:v>
                </c:pt>
              </c:numCache>
            </c:numRef>
          </c:val>
        </c:ser>
        <c:axId val="43203968"/>
        <c:axId val="43209856"/>
      </c:barChart>
      <c:catAx>
        <c:axId val="43203968"/>
        <c:scaling>
          <c:orientation val="minMax"/>
        </c:scaling>
        <c:axPos val="b"/>
        <c:numFmt formatCode="General" sourceLinked="1"/>
        <c:tickLblPos val="nextTo"/>
        <c:crossAx val="43209856"/>
        <c:crosses val="autoZero"/>
        <c:auto val="1"/>
        <c:lblAlgn val="ctr"/>
        <c:lblOffset val="100"/>
      </c:catAx>
      <c:valAx>
        <c:axId val="43209856"/>
        <c:scaling>
          <c:orientation val="minMax"/>
        </c:scaling>
        <c:axPos val="l"/>
        <c:majorGridlines/>
        <c:numFmt formatCode="General" sourceLinked="1"/>
        <c:tickLblPos val="nextTo"/>
        <c:crossAx val="4320396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outs:outSpaceData xmlns:outs="http://schemas.microsoft.com/office/2009/outspace/metadata">
  <outs:relatedDates>
    <outs:relatedDate>
      <outs:type>3</outs:type>
      <outs:displayName>Last Modified</outs:displayName>
      <outs:dateTime>2010-10-12T20:09:00Z</outs:dateTime>
      <outs:isPinned>true</outs:isPinned>
    </outs:relatedDate>
    <outs:relatedDate>
      <outs:type>2</outs:type>
      <outs:displayName>Created</outs:displayName>
      <outs:dateTime>2010-10-12T13:57:00Z</outs:dateTime>
      <outs:isPinned>true</outs:isPinned>
    </outs:relatedDate>
    <outs:relatedDate>
      <outs:type>4</outs:type>
      <outs:displayName>Last Printed</outs:displayName>
      <outs:dateTime/>
      <outs:isPinned>true</outs:isPinned>
    </outs:relatedDate>
  </outs:relatedDates>
  <outs:relatedDocuments>
    <outs:relatedDocument>
      <outs:type>2</outs:type>
      <outs:displayName>Other documents in current folder</outs:displayName>
      <outs:uri/>
      <outs:isPinned>true</outs:isPinned>
    </outs:relatedDocument>
  </outs:relatedDocuments>
  <outs:relatedPeople>
    <outs:relatedPeopleItem>
      <outs:category>Author</outs:category>
      <outs:people>
        <outs:relatedPerson>
          <outs:displayName>Tania</outs:displayName>
          <outs:accountName/>
        </outs:relatedPerson>
      </outs:people>
      <outs:source>0</outs:source>
      <outs:isPinned>true</outs:isPinned>
    </outs:relatedPeopleItem>
    <outs:relatedPeopleItem>
      <outs:category>Last modified by</outs:category>
      <outs:people>
        <outs:relatedPerson>
          <outs:displayName>Tania</outs:displayName>
          <outs:accountName/>
        </outs:relatedPerson>
      </outs:people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propertyMetadataList xmlns="http://schemas.microsoft.com/office/2009/outspace/metadata">
    <propertyMetadata>
      <type>0</type>
      <propertyId>2228224</propertyId>
      <propertyName/>
      <isPinned>true</isPinned>
    </propertyMetadata>
    <propertyMetadata>
      <type>0</type>
      <propertyId>589824</propertyId>
      <propertyName/>
      <isPinned>true</isPinned>
    </propertyMetadata>
    <propertyMetadata>
      <type>0</type>
      <propertyId>589825</propertyId>
      <propertyName/>
      <isPinned>true</isPinned>
    </propertyMetadata>
    <propertyMetadata>
      <type>0</type>
      <propertyId>786432</propertyId>
      <propertyName/>
      <isPinned>true</isPinned>
    </propertyMetadata>
    <propertyMetadata>
      <type>0</type>
      <propertyId>14</propertyId>
      <propertyName/>
      <isPinned>true</isPinned>
    </propertyMetadata>
    <propertyMetadata>
      <type>0</type>
      <propertyId>8</propertyId>
      <propertyName/>
      <isPinned>true</isPinned>
    </propertyMetadata>
    <propertyMetadata>
      <type>0</type>
      <propertyId>6</propertyId>
      <propertyName/>
      <isPinned>true</isPinned>
    </propertyMetadata>
    <propertyMetadata>
      <type>0</type>
      <propertyId>655365</propertyId>
      <propertyName/>
      <isPinned>false</isPinned>
    </propertyMetadata>
    <propertyMetadata>
      <type>0</type>
      <propertyId>1</propertyId>
      <propertyName/>
      <isPinned>false</isPinned>
    </propertyMetadata>
    <propertyMetadata>
      <type>0</type>
      <propertyId>0</propertyId>
      <propertyName/>
      <isPinned>false</isPinned>
    </propertyMetadata>
    <propertyMetadata>
      <type>0</type>
      <propertyId>13</propertyId>
      <propertyName/>
      <isPinned>false</isPinned>
    </propertyMetadata>
    <propertyMetadata>
      <type>0</type>
      <propertyId>1179653</propertyId>
      <propertyName/>
      <isPinned>false</isPinned>
    </propertyMetadata>
    <propertyMetadata>
      <type>0</type>
      <propertyId>22</propertyId>
      <propertyName/>
      <isPinned>false</isPinned>
    </propertyMetadata>
  </propertyMetadataList>
  <outs:corruptMetadataWasLost/>
</outs:outSpace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84DA3-1433-4BAD-9F43-3F1A20F6C08C}">
  <ds:schemaRefs>
    <ds:schemaRef ds:uri="http://schemas.microsoft.com/office/2009/outspace/metadata"/>
  </ds:schemaRefs>
</ds:datastoreItem>
</file>

<file path=customXml/itemProps2.xml><?xml version="1.0" encoding="utf-8"?>
<ds:datastoreItem xmlns:ds="http://schemas.openxmlformats.org/officeDocument/2006/customXml" ds:itemID="{7316CF23-76ED-4716-B4C4-7D9D21317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5450</Words>
  <Characters>29435</Characters>
  <Application>Microsoft Office Word</Application>
  <DocSecurity>0</DocSecurity>
  <Lines>245</Lines>
  <Paragraphs>69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rakel</cp:lastModifiedBy>
  <cp:revision>2</cp:revision>
  <dcterms:created xsi:type="dcterms:W3CDTF">2010-12-14T18:15:00Z</dcterms:created>
  <dcterms:modified xsi:type="dcterms:W3CDTF">2010-12-14T18:15:00Z</dcterms:modified>
</cp:coreProperties>
</file>