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DBA" w:rsidRPr="005C3E91" w:rsidRDefault="001B6424" w:rsidP="00753DBA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24"/>
        </w:rPr>
      </w:pPr>
      <w:bookmarkStart w:id="0" w:name="_GoBack"/>
      <w:bookmarkEnd w:id="0"/>
      <w:r>
        <w:rPr>
          <w:rFonts w:ascii="Agency FB" w:hAnsi="Agency FB"/>
          <w:noProof/>
          <w:color w:val="31849B" w:themeColor="accent5" w:themeShade="BF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210820</wp:posOffset>
                </wp:positionH>
                <wp:positionV relativeFrom="paragraph">
                  <wp:posOffset>38100</wp:posOffset>
                </wp:positionV>
                <wp:extent cx="4921250" cy="400050"/>
                <wp:effectExtent l="0" t="4445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12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74BEC" w:rsidRPr="00696A51" w:rsidRDefault="00B74BEC" w:rsidP="00B74BEC">
                            <w:pPr>
                              <w:spacing w:after="0" w:line="240" w:lineRule="auto"/>
                              <w:jc w:val="center"/>
                              <w:rPr>
                                <w:rFonts w:ascii="Agency FB" w:hAnsi="Agency FB"/>
                                <w:b/>
                                <w:color w:val="31849B" w:themeColor="accent5" w:themeShade="BF"/>
                                <w:sz w:val="40"/>
                              </w:rPr>
                            </w:pPr>
                            <w:r w:rsidRPr="00696A51">
                              <w:rPr>
                                <w:rFonts w:ascii="Agency FB" w:hAnsi="Agency FB"/>
                                <w:b/>
                                <w:color w:val="31849B" w:themeColor="accent5" w:themeShade="BF"/>
                                <w:sz w:val="40"/>
                              </w:rPr>
                              <w:t>Programas detalhados de auditoria por área</w:t>
                            </w:r>
                          </w:p>
                          <w:p w:rsidR="00B74BEC" w:rsidRDefault="00B74B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6pt;margin-top:3pt;width:387.5pt;height:3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" filled="f" stroked="f">
                <v:textbox>
                  <w:txbxContent>
                    <w:p w:rsidR="00B74BEC" w:rsidRPr="00696A51" w:rsidRDefault="00B74BEC" w:rsidP="00B74BEC">
                      <w:pPr>
                        <w:spacing w:after="0" w:line="240" w:lineRule="auto"/>
                        <w:jc w:val="center"/>
                        <w:rPr>
                          <w:rFonts w:ascii="Agency FB" w:hAnsi="Agency FB"/>
                          <w:b/>
                          <w:color w:val="31849B" w:themeColor="accent5" w:themeShade="BF"/>
                          <w:sz w:val="40"/>
                        </w:rPr>
                      </w:pPr>
                      <w:r w:rsidRPr="00696A51">
                        <w:rPr>
                          <w:rFonts w:ascii="Agency FB" w:hAnsi="Agency FB"/>
                          <w:b/>
                          <w:color w:val="31849B" w:themeColor="accent5" w:themeShade="BF"/>
                          <w:sz w:val="40"/>
                        </w:rPr>
                        <w:t>Programas detalhados de auditoria por área</w:t>
                      </w:r>
                    </w:p>
                    <w:p w:rsidR="00B74BEC" w:rsidRDefault="00B74BEC"/>
                  </w:txbxContent>
                </v:textbox>
              </v:shape>
            </w:pict>
          </mc:Fallback>
        </mc:AlternateContent>
      </w:r>
    </w:p>
    <w:p w:rsidR="00B74BEC" w:rsidRDefault="00B74BEC" w:rsidP="00753DBA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32"/>
        </w:rPr>
      </w:pPr>
    </w:p>
    <w:p w:rsidR="00753DBA" w:rsidRPr="006A5890" w:rsidRDefault="00753DBA" w:rsidP="00753DBA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 w:rsidRPr="006A5890">
        <w:rPr>
          <w:rFonts w:ascii="Agency FB" w:hAnsi="Agency FB"/>
          <w:b/>
          <w:color w:val="31849B" w:themeColor="accent5" w:themeShade="BF"/>
          <w:sz w:val="32"/>
        </w:rPr>
        <w:t>GASTOS FINANCEIROS</w:t>
      </w:r>
    </w:p>
    <w:tbl>
      <w:tblPr>
        <w:tblStyle w:val="TableGrid"/>
        <w:tblW w:w="10136" w:type="dxa"/>
        <w:jc w:val="center"/>
        <w:tblInd w:w="-45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Look w:val="04A0" w:firstRow="1" w:lastRow="0" w:firstColumn="1" w:lastColumn="0" w:noHBand="0" w:noVBand="1"/>
      </w:tblPr>
      <w:tblGrid>
        <w:gridCol w:w="554"/>
        <w:gridCol w:w="8672"/>
        <w:gridCol w:w="910"/>
      </w:tblGrid>
      <w:tr w:rsidR="00753DBA" w:rsidRPr="00B74BEC" w:rsidTr="006A5890">
        <w:trPr>
          <w:jc w:val="center"/>
        </w:trPr>
        <w:tc>
          <w:tcPr>
            <w:tcW w:w="554" w:type="dxa"/>
            <w:vAlign w:val="center"/>
          </w:tcPr>
          <w:p w:rsidR="00753DBA" w:rsidRPr="00B74BEC" w:rsidRDefault="00753DBA" w:rsidP="001D5E19">
            <w:pPr>
              <w:jc w:val="center"/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Nº</w:t>
            </w:r>
          </w:p>
        </w:tc>
        <w:tc>
          <w:tcPr>
            <w:tcW w:w="8672" w:type="dxa"/>
            <w:vAlign w:val="center"/>
          </w:tcPr>
          <w:p w:rsidR="00753DBA" w:rsidRPr="00B74BEC" w:rsidRDefault="00753DBA" w:rsidP="001D5E19">
            <w:pPr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Procedimento</w:t>
            </w:r>
          </w:p>
        </w:tc>
        <w:tc>
          <w:tcPr>
            <w:tcW w:w="910" w:type="dxa"/>
            <w:vAlign w:val="center"/>
          </w:tcPr>
          <w:p w:rsidR="00753DBA" w:rsidRPr="00B74BEC" w:rsidRDefault="00753DBA" w:rsidP="001D5E19">
            <w:pPr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Tipo</w:t>
            </w:r>
          </w:p>
        </w:tc>
      </w:tr>
      <w:tr w:rsidR="00753DBA" w:rsidRPr="005C3E91" w:rsidTr="006A5890">
        <w:trPr>
          <w:jc w:val="center"/>
        </w:trPr>
        <w:tc>
          <w:tcPr>
            <w:tcW w:w="554" w:type="dxa"/>
            <w:vAlign w:val="center"/>
          </w:tcPr>
          <w:p w:rsidR="00753DBA" w:rsidRPr="00B74BEC" w:rsidRDefault="00753DBA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</w:t>
            </w:r>
          </w:p>
        </w:tc>
        <w:tc>
          <w:tcPr>
            <w:tcW w:w="8672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Revisão Analítica (períodos consecutivos)</w:t>
            </w:r>
          </w:p>
        </w:tc>
        <w:tc>
          <w:tcPr>
            <w:tcW w:w="910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PSRA</w:t>
            </w:r>
          </w:p>
        </w:tc>
      </w:tr>
      <w:tr w:rsidR="00753DBA" w:rsidRPr="005C3E91" w:rsidTr="006A5890">
        <w:trPr>
          <w:jc w:val="center"/>
        </w:trPr>
        <w:tc>
          <w:tcPr>
            <w:tcW w:w="554" w:type="dxa"/>
            <w:vAlign w:val="center"/>
          </w:tcPr>
          <w:p w:rsidR="00753DBA" w:rsidRPr="00B74BEC" w:rsidRDefault="00753DBA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2</w:t>
            </w:r>
          </w:p>
        </w:tc>
        <w:tc>
          <w:tcPr>
            <w:tcW w:w="8672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Revisão Analítica (Gastos Financeiros / Saldo médio empréstimos)</w:t>
            </w:r>
          </w:p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Comparação resultado com taxa da empresa</w:t>
            </w:r>
          </w:p>
        </w:tc>
        <w:tc>
          <w:tcPr>
            <w:tcW w:w="910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PSRA</w:t>
            </w:r>
          </w:p>
        </w:tc>
      </w:tr>
      <w:tr w:rsidR="00753DBA" w:rsidRPr="005C3E91" w:rsidTr="006A5890">
        <w:trPr>
          <w:jc w:val="center"/>
        </w:trPr>
        <w:tc>
          <w:tcPr>
            <w:tcW w:w="554" w:type="dxa"/>
            <w:vAlign w:val="center"/>
          </w:tcPr>
          <w:p w:rsidR="00753DBA" w:rsidRPr="00B74BEC" w:rsidRDefault="00753DBA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3</w:t>
            </w:r>
          </w:p>
        </w:tc>
        <w:tc>
          <w:tcPr>
            <w:tcW w:w="8672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Revisão das condições contratuais dos empréstimos / locações / factoring / descobertos</w:t>
            </w:r>
          </w:p>
        </w:tc>
        <w:tc>
          <w:tcPr>
            <w:tcW w:w="910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  <w:tr w:rsidR="00753DBA" w:rsidRPr="005C3E91" w:rsidTr="006A5890">
        <w:trPr>
          <w:jc w:val="center"/>
        </w:trPr>
        <w:tc>
          <w:tcPr>
            <w:tcW w:w="554" w:type="dxa"/>
            <w:vAlign w:val="center"/>
          </w:tcPr>
          <w:p w:rsidR="00753DBA" w:rsidRPr="00B74BEC" w:rsidRDefault="00753DBA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4</w:t>
            </w:r>
          </w:p>
        </w:tc>
        <w:tc>
          <w:tcPr>
            <w:tcW w:w="8672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Para cada origem de capital alheio, verificar documentos bancários com débito de juros e cruzamento com extracto da contabilidade</w:t>
            </w:r>
          </w:p>
        </w:tc>
        <w:tc>
          <w:tcPr>
            <w:tcW w:w="910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  <w:tr w:rsidR="00753DBA" w:rsidRPr="005C3E91" w:rsidTr="006A5890">
        <w:trPr>
          <w:jc w:val="center"/>
        </w:trPr>
        <w:tc>
          <w:tcPr>
            <w:tcW w:w="554" w:type="dxa"/>
            <w:vAlign w:val="center"/>
          </w:tcPr>
          <w:p w:rsidR="00753DBA" w:rsidRPr="00B74BEC" w:rsidRDefault="00753DBA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5</w:t>
            </w:r>
          </w:p>
        </w:tc>
        <w:tc>
          <w:tcPr>
            <w:tcW w:w="8672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Verificação da correcta imputação de juros ao período (especialização dos juros)</w:t>
            </w:r>
          </w:p>
        </w:tc>
        <w:tc>
          <w:tcPr>
            <w:tcW w:w="910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  <w:tr w:rsidR="00753DBA" w:rsidRPr="005C3E91" w:rsidTr="006A5890">
        <w:trPr>
          <w:jc w:val="center"/>
        </w:trPr>
        <w:tc>
          <w:tcPr>
            <w:tcW w:w="554" w:type="dxa"/>
            <w:vAlign w:val="center"/>
          </w:tcPr>
          <w:p w:rsidR="00753DBA" w:rsidRPr="00B74BEC" w:rsidRDefault="00753DBA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6</w:t>
            </w:r>
          </w:p>
        </w:tc>
        <w:tc>
          <w:tcPr>
            <w:tcW w:w="8672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Verificação dos investimentos financeiros detidos e adequada aplicação da Equivalência Patrimonial (perdas nas participadas)</w:t>
            </w:r>
          </w:p>
        </w:tc>
        <w:tc>
          <w:tcPr>
            <w:tcW w:w="910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  <w:tr w:rsidR="00753DBA" w:rsidRPr="005C3E91" w:rsidTr="006A5890">
        <w:trPr>
          <w:jc w:val="center"/>
        </w:trPr>
        <w:tc>
          <w:tcPr>
            <w:tcW w:w="554" w:type="dxa"/>
            <w:vAlign w:val="center"/>
          </w:tcPr>
          <w:p w:rsidR="00753DBA" w:rsidRPr="00B74BEC" w:rsidRDefault="00753DBA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7</w:t>
            </w:r>
          </w:p>
        </w:tc>
        <w:tc>
          <w:tcPr>
            <w:tcW w:w="8672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Verificação dos investimentos de curto prazo detidos e imputação das perdas obtidas em face do justo valor dos títulos</w:t>
            </w:r>
          </w:p>
        </w:tc>
        <w:tc>
          <w:tcPr>
            <w:tcW w:w="910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  <w:tr w:rsidR="00753DBA" w:rsidRPr="005C3E91" w:rsidTr="006A5890">
        <w:trPr>
          <w:jc w:val="center"/>
        </w:trPr>
        <w:tc>
          <w:tcPr>
            <w:tcW w:w="554" w:type="dxa"/>
            <w:vAlign w:val="center"/>
          </w:tcPr>
          <w:p w:rsidR="00753DBA" w:rsidRPr="00B74BEC" w:rsidRDefault="00753DBA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8</w:t>
            </w:r>
          </w:p>
        </w:tc>
        <w:tc>
          <w:tcPr>
            <w:tcW w:w="8672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Cruzamento dos valores auditados no balancete com demonstrações financeiras e demais divulgações</w:t>
            </w:r>
          </w:p>
        </w:tc>
        <w:tc>
          <w:tcPr>
            <w:tcW w:w="910" w:type="dxa"/>
            <w:vAlign w:val="center"/>
          </w:tcPr>
          <w:p w:rsidR="00753DBA" w:rsidRPr="005C3E91" w:rsidRDefault="00753DBA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</w:tbl>
    <w:p w:rsidR="00837517" w:rsidRPr="005C3E91" w:rsidRDefault="00837517" w:rsidP="00837517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24"/>
        </w:rPr>
      </w:pPr>
    </w:p>
    <w:p w:rsidR="00B74BEC" w:rsidRPr="006A5890" w:rsidRDefault="00B74BEC" w:rsidP="00B74BEC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 w:rsidRPr="006A5890">
        <w:rPr>
          <w:rFonts w:ascii="Agency FB" w:hAnsi="Agency FB"/>
          <w:b/>
          <w:color w:val="31849B" w:themeColor="accent5" w:themeShade="BF"/>
          <w:sz w:val="32"/>
        </w:rPr>
        <w:t>DEPÓSITOS À ORDEM</w:t>
      </w:r>
    </w:p>
    <w:tbl>
      <w:tblPr>
        <w:tblStyle w:val="TableGrid"/>
        <w:tblW w:w="10136" w:type="dxa"/>
        <w:jc w:val="center"/>
        <w:tblInd w:w="-45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Look w:val="04A0" w:firstRow="1" w:lastRow="0" w:firstColumn="1" w:lastColumn="0" w:noHBand="0" w:noVBand="1"/>
      </w:tblPr>
      <w:tblGrid>
        <w:gridCol w:w="540"/>
        <w:gridCol w:w="7935"/>
        <w:gridCol w:w="1661"/>
      </w:tblGrid>
      <w:tr w:rsidR="00B74BEC" w:rsidRPr="00B74BEC" w:rsidTr="007069CF">
        <w:trPr>
          <w:jc w:val="center"/>
        </w:trPr>
        <w:tc>
          <w:tcPr>
            <w:tcW w:w="540" w:type="dxa"/>
            <w:vAlign w:val="center"/>
          </w:tcPr>
          <w:p w:rsidR="00B74BEC" w:rsidRPr="00B74BEC" w:rsidRDefault="00B74BEC" w:rsidP="007069CF">
            <w:pPr>
              <w:jc w:val="center"/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Nº</w:t>
            </w:r>
          </w:p>
        </w:tc>
        <w:tc>
          <w:tcPr>
            <w:tcW w:w="7935" w:type="dxa"/>
            <w:vAlign w:val="center"/>
          </w:tcPr>
          <w:p w:rsidR="00B74BEC" w:rsidRPr="00B74BEC" w:rsidRDefault="00B74BEC" w:rsidP="007069CF">
            <w:pPr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Procedimento</w:t>
            </w:r>
          </w:p>
        </w:tc>
        <w:tc>
          <w:tcPr>
            <w:tcW w:w="1661" w:type="dxa"/>
            <w:vAlign w:val="center"/>
          </w:tcPr>
          <w:p w:rsidR="00B74BEC" w:rsidRPr="00B74BEC" w:rsidRDefault="00B74BEC" w:rsidP="007069CF">
            <w:pPr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Tipo</w:t>
            </w:r>
          </w:p>
        </w:tc>
      </w:tr>
      <w:tr w:rsidR="00B74BEC" w:rsidRPr="005C3E91" w:rsidTr="007069CF">
        <w:trPr>
          <w:jc w:val="center"/>
        </w:trPr>
        <w:tc>
          <w:tcPr>
            <w:tcW w:w="540" w:type="dxa"/>
            <w:vAlign w:val="center"/>
          </w:tcPr>
          <w:p w:rsidR="00B74BEC" w:rsidRPr="00B74BEC" w:rsidRDefault="00B74BEC" w:rsidP="007069CF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</w:t>
            </w:r>
          </w:p>
        </w:tc>
        <w:tc>
          <w:tcPr>
            <w:tcW w:w="7935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Levantamento do sistema de controlo interno implementado para a área de depósitos à ordem</w:t>
            </w:r>
          </w:p>
        </w:tc>
        <w:tc>
          <w:tcPr>
            <w:tcW w:w="1661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Conformidade</w:t>
            </w:r>
          </w:p>
        </w:tc>
      </w:tr>
      <w:tr w:rsidR="00B74BEC" w:rsidRPr="005C3E91" w:rsidTr="007069CF">
        <w:trPr>
          <w:jc w:val="center"/>
        </w:trPr>
        <w:tc>
          <w:tcPr>
            <w:tcW w:w="540" w:type="dxa"/>
            <w:vAlign w:val="center"/>
          </w:tcPr>
          <w:p w:rsidR="00B74BEC" w:rsidRPr="00B74BEC" w:rsidRDefault="00B74BEC" w:rsidP="007069CF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2</w:t>
            </w:r>
          </w:p>
        </w:tc>
        <w:tc>
          <w:tcPr>
            <w:tcW w:w="7935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Testar o levantamento efectuado para 50 transacções de:</w:t>
            </w:r>
          </w:p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- Recebimentos em dinheiro</w:t>
            </w:r>
            <w:r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 xml:space="preserve">              </w:t>
            </w: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- Recebimentos por cheque</w:t>
            </w:r>
          </w:p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- Recebimentos por transferência</w:t>
            </w:r>
            <w:r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 xml:space="preserve">      </w:t>
            </w: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- Pagamentos por cheque</w:t>
            </w:r>
          </w:p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- Pagamentos por transferência</w:t>
            </w:r>
            <w:r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 xml:space="preserve">         </w:t>
            </w: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- Reconciliações periódicas</w:t>
            </w:r>
          </w:p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Ao nível de quem efectua, que supervisiona, quem autoriza, e segregação de funções face ás contas correntes, e contabilidade</w:t>
            </w:r>
          </w:p>
        </w:tc>
        <w:tc>
          <w:tcPr>
            <w:tcW w:w="1661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Conformidade</w:t>
            </w:r>
          </w:p>
        </w:tc>
      </w:tr>
      <w:tr w:rsidR="00B74BEC" w:rsidRPr="005C3E91" w:rsidTr="007069CF">
        <w:trPr>
          <w:jc w:val="center"/>
        </w:trPr>
        <w:tc>
          <w:tcPr>
            <w:tcW w:w="540" w:type="dxa"/>
            <w:vAlign w:val="center"/>
          </w:tcPr>
          <w:p w:rsidR="00B74BEC" w:rsidRPr="00B74BEC" w:rsidRDefault="00B74BEC" w:rsidP="007069CF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3</w:t>
            </w:r>
          </w:p>
        </w:tc>
        <w:tc>
          <w:tcPr>
            <w:tcW w:w="7935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Preparar as circularizações bancárias a 31 de Dezembro</w:t>
            </w:r>
          </w:p>
        </w:tc>
        <w:tc>
          <w:tcPr>
            <w:tcW w:w="1661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B74BEC" w:rsidRPr="005C3E91" w:rsidTr="007069CF">
        <w:trPr>
          <w:jc w:val="center"/>
        </w:trPr>
        <w:tc>
          <w:tcPr>
            <w:tcW w:w="540" w:type="dxa"/>
            <w:vAlign w:val="center"/>
          </w:tcPr>
          <w:p w:rsidR="00B74BEC" w:rsidRPr="00B74BEC" w:rsidRDefault="00B74BEC" w:rsidP="007069CF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4</w:t>
            </w:r>
          </w:p>
        </w:tc>
        <w:tc>
          <w:tcPr>
            <w:tcW w:w="7935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Validar as respostas recebidas e cruzar informação com contabilidade</w:t>
            </w:r>
          </w:p>
        </w:tc>
        <w:tc>
          <w:tcPr>
            <w:tcW w:w="1661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B74BEC" w:rsidRPr="005C3E91" w:rsidTr="007069CF">
        <w:trPr>
          <w:jc w:val="center"/>
        </w:trPr>
        <w:tc>
          <w:tcPr>
            <w:tcW w:w="540" w:type="dxa"/>
            <w:vAlign w:val="center"/>
          </w:tcPr>
          <w:p w:rsidR="00B74BEC" w:rsidRPr="00B74BEC" w:rsidRDefault="00B74BEC" w:rsidP="007069CF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5</w:t>
            </w:r>
          </w:p>
        </w:tc>
        <w:tc>
          <w:tcPr>
            <w:tcW w:w="7935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Testar as reconciliações periódicas e ver seu grau de coerência com contabilidade e respostas recebidas</w:t>
            </w:r>
          </w:p>
        </w:tc>
        <w:tc>
          <w:tcPr>
            <w:tcW w:w="1661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B74BEC" w:rsidRPr="005C3E91" w:rsidTr="007069CF">
        <w:trPr>
          <w:jc w:val="center"/>
        </w:trPr>
        <w:tc>
          <w:tcPr>
            <w:tcW w:w="540" w:type="dxa"/>
            <w:vAlign w:val="center"/>
          </w:tcPr>
          <w:p w:rsidR="00B74BEC" w:rsidRPr="00B74BEC" w:rsidRDefault="00B74BEC" w:rsidP="007069CF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6</w:t>
            </w:r>
          </w:p>
        </w:tc>
        <w:tc>
          <w:tcPr>
            <w:tcW w:w="7935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Para itens não reconciliados antigos, pedir à tesouraria justificação para que os mesmos não tenham sido reconciliados. Avaliar justeza das justificações obtidas.</w:t>
            </w:r>
          </w:p>
        </w:tc>
        <w:tc>
          <w:tcPr>
            <w:tcW w:w="1661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B74BEC" w:rsidRPr="005C3E91" w:rsidTr="007069CF">
        <w:trPr>
          <w:jc w:val="center"/>
        </w:trPr>
        <w:tc>
          <w:tcPr>
            <w:tcW w:w="540" w:type="dxa"/>
            <w:vAlign w:val="center"/>
          </w:tcPr>
          <w:p w:rsidR="00B74BEC" w:rsidRPr="00B74BEC" w:rsidRDefault="00B74BEC" w:rsidP="007069CF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7</w:t>
            </w:r>
          </w:p>
        </w:tc>
        <w:tc>
          <w:tcPr>
            <w:tcW w:w="7935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Verificar que todas as contas existentes constam da contabilidade e se encontram adequadamente valorizadas</w:t>
            </w:r>
          </w:p>
        </w:tc>
        <w:tc>
          <w:tcPr>
            <w:tcW w:w="1661" w:type="dxa"/>
            <w:vAlign w:val="center"/>
          </w:tcPr>
          <w:p w:rsidR="00B74BEC" w:rsidRPr="005C3E91" w:rsidRDefault="00B74BEC" w:rsidP="007069CF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</w:tbl>
    <w:p w:rsidR="00753DBA" w:rsidRPr="005C3E91" w:rsidRDefault="00753DBA" w:rsidP="00753DBA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24"/>
        </w:rPr>
      </w:pPr>
    </w:p>
    <w:p w:rsidR="00696A51" w:rsidRPr="006A5890" w:rsidRDefault="00696A51" w:rsidP="00696A51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 w:rsidRPr="006A5890">
        <w:rPr>
          <w:rFonts w:ascii="Agency FB" w:hAnsi="Agency FB"/>
          <w:b/>
          <w:color w:val="31849B" w:themeColor="accent5" w:themeShade="BF"/>
          <w:sz w:val="32"/>
        </w:rPr>
        <w:t>TÍTULOS NEGOCIAVEIS</w:t>
      </w:r>
    </w:p>
    <w:tbl>
      <w:tblPr>
        <w:tblStyle w:val="TableGrid"/>
        <w:tblW w:w="10136" w:type="dxa"/>
        <w:jc w:val="center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Look w:val="04A0" w:firstRow="1" w:lastRow="0" w:firstColumn="1" w:lastColumn="0" w:noHBand="0" w:noVBand="1"/>
      </w:tblPr>
      <w:tblGrid>
        <w:gridCol w:w="548"/>
        <w:gridCol w:w="7914"/>
        <w:gridCol w:w="1674"/>
      </w:tblGrid>
      <w:tr w:rsidR="00696A51" w:rsidRPr="00B74BEC" w:rsidTr="006A5890">
        <w:trPr>
          <w:jc w:val="center"/>
        </w:trPr>
        <w:tc>
          <w:tcPr>
            <w:tcW w:w="548" w:type="dxa"/>
            <w:vAlign w:val="center"/>
          </w:tcPr>
          <w:p w:rsidR="00696A51" w:rsidRPr="00B74BEC" w:rsidRDefault="00696A51" w:rsidP="00667BD6">
            <w:pPr>
              <w:jc w:val="center"/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Nº</w:t>
            </w:r>
          </w:p>
        </w:tc>
        <w:tc>
          <w:tcPr>
            <w:tcW w:w="7914" w:type="dxa"/>
            <w:vAlign w:val="center"/>
          </w:tcPr>
          <w:p w:rsidR="00696A51" w:rsidRPr="00B74BEC" w:rsidRDefault="00696A51" w:rsidP="00667BD6">
            <w:pPr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Procedimento</w:t>
            </w:r>
          </w:p>
        </w:tc>
        <w:tc>
          <w:tcPr>
            <w:tcW w:w="1674" w:type="dxa"/>
            <w:vAlign w:val="center"/>
          </w:tcPr>
          <w:p w:rsidR="00696A51" w:rsidRPr="00B74BEC" w:rsidRDefault="00696A51" w:rsidP="00667BD6">
            <w:pPr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Tipo</w:t>
            </w:r>
          </w:p>
        </w:tc>
      </w:tr>
      <w:tr w:rsidR="00696A51" w:rsidRPr="005C3E91" w:rsidTr="006A5890">
        <w:trPr>
          <w:jc w:val="center"/>
        </w:trPr>
        <w:tc>
          <w:tcPr>
            <w:tcW w:w="548" w:type="dxa"/>
            <w:vAlign w:val="center"/>
          </w:tcPr>
          <w:p w:rsidR="00696A51" w:rsidRPr="00B74BEC" w:rsidRDefault="00696A51" w:rsidP="00667BD6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</w:t>
            </w:r>
          </w:p>
        </w:tc>
        <w:tc>
          <w:tcPr>
            <w:tcW w:w="7914" w:type="dxa"/>
            <w:vAlign w:val="center"/>
          </w:tcPr>
          <w:p w:rsidR="00696A51" w:rsidRPr="00696A51" w:rsidRDefault="00696A51" w:rsidP="00696A51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Fazer levantamento dos controlos implementados nesta área (aquisição, detenção e alienação)</w:t>
            </w:r>
          </w:p>
        </w:tc>
        <w:tc>
          <w:tcPr>
            <w:tcW w:w="167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Levantamento</w:t>
            </w:r>
          </w:p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SCI</w:t>
            </w:r>
          </w:p>
        </w:tc>
      </w:tr>
      <w:tr w:rsidR="00696A51" w:rsidRPr="005C3E91" w:rsidTr="006A5890">
        <w:trPr>
          <w:jc w:val="center"/>
        </w:trPr>
        <w:tc>
          <w:tcPr>
            <w:tcW w:w="548" w:type="dxa"/>
            <w:vAlign w:val="center"/>
          </w:tcPr>
          <w:p w:rsidR="00696A51" w:rsidRPr="00B74BEC" w:rsidRDefault="00696A51" w:rsidP="00667BD6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2</w:t>
            </w:r>
          </w:p>
        </w:tc>
        <w:tc>
          <w:tcPr>
            <w:tcW w:w="791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Testar os controlos implementados para 30% dos movimentos ocorridos no ano, e concluir sobre o cumprimento dos procedimentos definidos</w:t>
            </w:r>
          </w:p>
        </w:tc>
        <w:tc>
          <w:tcPr>
            <w:tcW w:w="167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Teste</w:t>
            </w:r>
          </w:p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Conformidade</w:t>
            </w:r>
          </w:p>
        </w:tc>
      </w:tr>
      <w:tr w:rsidR="00696A51" w:rsidRPr="005C3E91" w:rsidTr="006A5890">
        <w:trPr>
          <w:jc w:val="center"/>
        </w:trPr>
        <w:tc>
          <w:tcPr>
            <w:tcW w:w="548" w:type="dxa"/>
            <w:vAlign w:val="center"/>
          </w:tcPr>
          <w:p w:rsidR="00696A51" w:rsidRPr="00B74BEC" w:rsidRDefault="00696A51" w:rsidP="00667BD6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3</w:t>
            </w:r>
          </w:p>
        </w:tc>
        <w:tc>
          <w:tcPr>
            <w:tcW w:w="791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Verificar se as aquisições e alienações de títulos são devidamente e expressamente autorizadas por responsável competente</w:t>
            </w:r>
          </w:p>
        </w:tc>
        <w:tc>
          <w:tcPr>
            <w:tcW w:w="167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Teste</w:t>
            </w:r>
          </w:p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Conformidade</w:t>
            </w:r>
          </w:p>
        </w:tc>
      </w:tr>
      <w:tr w:rsidR="00696A51" w:rsidRPr="005C3E91" w:rsidTr="006A5890">
        <w:trPr>
          <w:jc w:val="center"/>
        </w:trPr>
        <w:tc>
          <w:tcPr>
            <w:tcW w:w="548" w:type="dxa"/>
            <w:vAlign w:val="center"/>
          </w:tcPr>
          <w:p w:rsidR="00696A51" w:rsidRPr="00B74BEC" w:rsidRDefault="00696A51" w:rsidP="00667BD6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4</w:t>
            </w:r>
          </w:p>
        </w:tc>
        <w:tc>
          <w:tcPr>
            <w:tcW w:w="791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Circularizar os bancos depositários dos títulos, a aferir sobre a existência e valor dos títulos detidos</w:t>
            </w:r>
          </w:p>
        </w:tc>
        <w:tc>
          <w:tcPr>
            <w:tcW w:w="167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Teste</w:t>
            </w:r>
          </w:p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696A51" w:rsidRPr="005C3E91" w:rsidTr="006A5890">
        <w:trPr>
          <w:jc w:val="center"/>
        </w:trPr>
        <w:tc>
          <w:tcPr>
            <w:tcW w:w="548" w:type="dxa"/>
            <w:vAlign w:val="center"/>
          </w:tcPr>
          <w:p w:rsidR="00696A51" w:rsidRPr="00B74BEC" w:rsidRDefault="00696A51" w:rsidP="00667BD6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5</w:t>
            </w:r>
          </w:p>
        </w:tc>
        <w:tc>
          <w:tcPr>
            <w:tcW w:w="791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Testar as mais ou menos valias realizadas nas operações de alienação mediante confirmação dos valores recebidos pela alienação nos extractos bancários</w:t>
            </w:r>
          </w:p>
        </w:tc>
        <w:tc>
          <w:tcPr>
            <w:tcW w:w="167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Teste</w:t>
            </w:r>
          </w:p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696A51" w:rsidRPr="005C3E91" w:rsidTr="006A5890">
        <w:trPr>
          <w:jc w:val="center"/>
        </w:trPr>
        <w:tc>
          <w:tcPr>
            <w:tcW w:w="548" w:type="dxa"/>
            <w:vAlign w:val="center"/>
          </w:tcPr>
          <w:p w:rsidR="00696A51" w:rsidRPr="00B74BEC" w:rsidRDefault="00696A51" w:rsidP="00667BD6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6</w:t>
            </w:r>
          </w:p>
        </w:tc>
        <w:tc>
          <w:tcPr>
            <w:tcW w:w="791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Verificar critério valorimétrico adoptado, sua adequacidade e consistência</w:t>
            </w:r>
          </w:p>
        </w:tc>
        <w:tc>
          <w:tcPr>
            <w:tcW w:w="167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Teste</w:t>
            </w:r>
          </w:p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696A51" w:rsidRPr="005C3E91" w:rsidTr="006A5890">
        <w:trPr>
          <w:jc w:val="center"/>
        </w:trPr>
        <w:tc>
          <w:tcPr>
            <w:tcW w:w="548" w:type="dxa"/>
            <w:vAlign w:val="center"/>
          </w:tcPr>
          <w:p w:rsidR="00696A51" w:rsidRPr="00B74BEC" w:rsidRDefault="00696A51" w:rsidP="00667BD6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7</w:t>
            </w:r>
          </w:p>
        </w:tc>
        <w:tc>
          <w:tcPr>
            <w:tcW w:w="791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Aferir sobre a necessidade de efectuar ajustamentos ao activo para os casos em que o valor de mercado seja inferior ao custo de aquisição</w:t>
            </w:r>
          </w:p>
        </w:tc>
        <w:tc>
          <w:tcPr>
            <w:tcW w:w="1674" w:type="dxa"/>
            <w:vAlign w:val="center"/>
          </w:tcPr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Teste</w:t>
            </w:r>
          </w:p>
          <w:p w:rsidR="00696A51" w:rsidRPr="005C3E91" w:rsidRDefault="00696A51" w:rsidP="00667BD6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</w:tbl>
    <w:p w:rsidR="00B74BEC" w:rsidRDefault="00B74BEC" w:rsidP="004B4649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32"/>
        </w:rPr>
      </w:pPr>
    </w:p>
    <w:p w:rsidR="00B74BEC" w:rsidRDefault="00B74BEC" w:rsidP="004B4649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32"/>
        </w:rPr>
      </w:pPr>
    </w:p>
    <w:p w:rsidR="004B4649" w:rsidRPr="006A5890" w:rsidRDefault="004B4649" w:rsidP="004B4649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 w:rsidRPr="006A5890">
        <w:rPr>
          <w:rFonts w:ascii="Agency FB" w:hAnsi="Agency FB"/>
          <w:b/>
          <w:color w:val="31849B" w:themeColor="accent5" w:themeShade="BF"/>
          <w:sz w:val="32"/>
        </w:rPr>
        <w:t>ACTIVOS FIXOS CORPÓREOS</w:t>
      </w:r>
    </w:p>
    <w:tbl>
      <w:tblPr>
        <w:tblStyle w:val="TableGrid"/>
        <w:tblW w:w="10136" w:type="dxa"/>
        <w:jc w:val="center"/>
        <w:tblInd w:w="-45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Look w:val="04A0" w:firstRow="1" w:lastRow="0" w:firstColumn="1" w:lastColumn="0" w:noHBand="0" w:noVBand="1"/>
      </w:tblPr>
      <w:tblGrid>
        <w:gridCol w:w="548"/>
        <w:gridCol w:w="8055"/>
        <w:gridCol w:w="1533"/>
      </w:tblGrid>
      <w:tr w:rsidR="005C3E91" w:rsidRPr="00B74BEC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Nº</w:t>
            </w:r>
          </w:p>
        </w:tc>
        <w:tc>
          <w:tcPr>
            <w:tcW w:w="8204" w:type="dxa"/>
            <w:vAlign w:val="center"/>
          </w:tcPr>
          <w:p w:rsidR="004B4649" w:rsidRPr="00B74BEC" w:rsidRDefault="004B4649" w:rsidP="001D5E19">
            <w:pPr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Procedimento</w:t>
            </w:r>
          </w:p>
        </w:tc>
        <w:tc>
          <w:tcPr>
            <w:tcW w:w="1382" w:type="dxa"/>
            <w:vAlign w:val="center"/>
          </w:tcPr>
          <w:p w:rsidR="004B4649" w:rsidRPr="00B74BEC" w:rsidRDefault="004B4649" w:rsidP="001D5E19">
            <w:pPr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Tipo</w:t>
            </w:r>
          </w:p>
        </w:tc>
      </w:tr>
      <w:tr w:rsidR="005C3E91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</w:t>
            </w:r>
          </w:p>
        </w:tc>
        <w:tc>
          <w:tcPr>
            <w:tcW w:w="8204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Comparar os valores das rubricas face ao ano anterior e apurar as respectivas variações.</w:t>
            </w:r>
          </w:p>
        </w:tc>
        <w:tc>
          <w:tcPr>
            <w:tcW w:w="1382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Revisão</w:t>
            </w:r>
          </w:p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Analítica</w:t>
            </w:r>
          </w:p>
        </w:tc>
      </w:tr>
      <w:tr w:rsidR="005C3E91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2</w:t>
            </w:r>
          </w:p>
        </w:tc>
        <w:tc>
          <w:tcPr>
            <w:tcW w:w="8204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Elaborar quadro resumo das variações do período.</w:t>
            </w:r>
          </w:p>
        </w:tc>
        <w:tc>
          <w:tcPr>
            <w:tcW w:w="1382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Revisão</w:t>
            </w:r>
          </w:p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Analítica</w:t>
            </w:r>
          </w:p>
        </w:tc>
      </w:tr>
      <w:tr w:rsidR="005C3E91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3</w:t>
            </w:r>
          </w:p>
        </w:tc>
        <w:tc>
          <w:tcPr>
            <w:tcW w:w="8204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Analisar todas as aquisições no período. Ver em especial, documento suporte, contabilização, tratamento IVA,</w:t>
            </w:r>
          </w:p>
        </w:tc>
        <w:tc>
          <w:tcPr>
            <w:tcW w:w="1382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Proc.</w:t>
            </w:r>
          </w:p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5C3E91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4</w:t>
            </w:r>
          </w:p>
        </w:tc>
        <w:tc>
          <w:tcPr>
            <w:tcW w:w="8204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Solicitar certidão do Registo Predial para verificação dos imóveis detidos pela empresa.</w:t>
            </w:r>
          </w:p>
        </w:tc>
        <w:tc>
          <w:tcPr>
            <w:tcW w:w="1382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Proc.</w:t>
            </w:r>
          </w:p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5C3E91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5</w:t>
            </w:r>
          </w:p>
        </w:tc>
        <w:tc>
          <w:tcPr>
            <w:tcW w:w="8204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Verificar todos os contratos de locação, ALD e leasing operacional; verificar aplicação da Directriz Contabilística</w:t>
            </w:r>
          </w:p>
        </w:tc>
        <w:tc>
          <w:tcPr>
            <w:tcW w:w="1382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Proc.</w:t>
            </w:r>
          </w:p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5C3E91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6</w:t>
            </w:r>
          </w:p>
        </w:tc>
        <w:tc>
          <w:tcPr>
            <w:tcW w:w="8204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Analisar todos os abates e respectiva comunicação à Repartição das Finanças</w:t>
            </w:r>
          </w:p>
        </w:tc>
        <w:tc>
          <w:tcPr>
            <w:tcW w:w="1382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Proc.</w:t>
            </w:r>
          </w:p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5C3E91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7</w:t>
            </w:r>
          </w:p>
        </w:tc>
        <w:tc>
          <w:tcPr>
            <w:tcW w:w="8204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Analisar todas as alienações ocorridas. Ver documentos suporte, adquirente, preço de venda, e registo da +/- valia.</w:t>
            </w:r>
          </w:p>
        </w:tc>
        <w:tc>
          <w:tcPr>
            <w:tcW w:w="1382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Proc.</w:t>
            </w:r>
          </w:p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5C3E91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8</w:t>
            </w:r>
          </w:p>
        </w:tc>
        <w:tc>
          <w:tcPr>
            <w:tcW w:w="8204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Verificação da existência de Trabalhos para a Própria Empresa. Método de valorização.</w:t>
            </w:r>
          </w:p>
        </w:tc>
        <w:tc>
          <w:tcPr>
            <w:tcW w:w="1382" w:type="dxa"/>
            <w:vAlign w:val="center"/>
          </w:tcPr>
          <w:p w:rsidR="004B4649" w:rsidRPr="005C3E91" w:rsidRDefault="004B4649" w:rsidP="001D5E19">
            <w:pPr>
              <w:rPr>
                <w:rFonts w:ascii="Agency FB" w:hAnsi="Agency FB"/>
                <w:color w:val="31849B" w:themeColor="accent5" w:themeShade="BF"/>
                <w:sz w:val="44"/>
              </w:rPr>
            </w:pPr>
          </w:p>
        </w:tc>
      </w:tr>
      <w:tr w:rsidR="004B4649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9</w:t>
            </w:r>
          </w:p>
        </w:tc>
        <w:tc>
          <w:tcPr>
            <w:tcW w:w="8204" w:type="dxa"/>
            <w:vAlign w:val="center"/>
          </w:tcPr>
          <w:p w:rsidR="004B4649" w:rsidRPr="005C3E91" w:rsidRDefault="004B464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Analisar cobertura dos seguros do imobilizado</w:t>
            </w:r>
          </w:p>
        </w:tc>
        <w:tc>
          <w:tcPr>
            <w:tcW w:w="1382" w:type="dxa"/>
            <w:vAlign w:val="center"/>
          </w:tcPr>
          <w:p w:rsidR="004B4649" w:rsidRPr="005C3E91" w:rsidRDefault="004B4649" w:rsidP="001D5E19">
            <w:pPr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Proc.</w:t>
            </w:r>
          </w:p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4B4649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10</w:t>
            </w:r>
          </w:p>
        </w:tc>
        <w:tc>
          <w:tcPr>
            <w:tcW w:w="8204" w:type="dxa"/>
            <w:vAlign w:val="center"/>
          </w:tcPr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Verificar a existência de reavaliações legais ou livres. Bases para a reavaliação. No primeiro caso, analisar realização da reserva de reavaliação e registo de impostos diferidos.</w:t>
            </w:r>
          </w:p>
        </w:tc>
        <w:tc>
          <w:tcPr>
            <w:tcW w:w="1382" w:type="dxa"/>
            <w:vAlign w:val="center"/>
          </w:tcPr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Proc.</w:t>
            </w:r>
          </w:p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4B4649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11</w:t>
            </w:r>
          </w:p>
        </w:tc>
        <w:tc>
          <w:tcPr>
            <w:tcW w:w="8204" w:type="dxa"/>
            <w:vAlign w:val="center"/>
          </w:tcPr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Analisar situações actuais ou potenciais de imparidades.</w:t>
            </w:r>
          </w:p>
        </w:tc>
        <w:tc>
          <w:tcPr>
            <w:tcW w:w="1382" w:type="dxa"/>
            <w:vAlign w:val="center"/>
          </w:tcPr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Proc.</w:t>
            </w:r>
          </w:p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1D5E19" w:rsidRPr="005C3E91" w:rsidTr="006A5890">
        <w:trPr>
          <w:jc w:val="center"/>
        </w:trPr>
        <w:tc>
          <w:tcPr>
            <w:tcW w:w="550" w:type="dxa"/>
            <w:vAlign w:val="center"/>
          </w:tcPr>
          <w:p w:rsidR="001D5E19" w:rsidRPr="00B74BEC" w:rsidRDefault="001D5E1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11</w:t>
            </w:r>
          </w:p>
        </w:tc>
        <w:tc>
          <w:tcPr>
            <w:tcW w:w="8204" w:type="dxa"/>
            <w:vAlign w:val="center"/>
          </w:tcPr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Comparar variações ocorridas nas amortizações acumuladas. Reflexo na demonstração dos resultados.</w:t>
            </w:r>
          </w:p>
        </w:tc>
        <w:tc>
          <w:tcPr>
            <w:tcW w:w="1382" w:type="dxa"/>
            <w:vAlign w:val="center"/>
          </w:tcPr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Revisão</w:t>
            </w:r>
          </w:p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Analítica</w:t>
            </w:r>
          </w:p>
        </w:tc>
      </w:tr>
      <w:tr w:rsidR="004B4649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12</w:t>
            </w:r>
          </w:p>
        </w:tc>
        <w:tc>
          <w:tcPr>
            <w:tcW w:w="8204" w:type="dxa"/>
            <w:vAlign w:val="center"/>
          </w:tcPr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Elaborar quadro resumo das variações nas amortizações acumuladas.</w:t>
            </w:r>
          </w:p>
        </w:tc>
        <w:tc>
          <w:tcPr>
            <w:tcW w:w="1382" w:type="dxa"/>
            <w:vAlign w:val="center"/>
          </w:tcPr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Revisão</w:t>
            </w:r>
          </w:p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Analítica</w:t>
            </w:r>
          </w:p>
        </w:tc>
      </w:tr>
      <w:tr w:rsidR="004B4649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13</w:t>
            </w:r>
          </w:p>
        </w:tc>
        <w:tc>
          <w:tcPr>
            <w:tcW w:w="8204" w:type="dxa"/>
            <w:vAlign w:val="center"/>
          </w:tcPr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Fazer um teste ás amortizações do exercício. Verificar consistência e razoabilidade dos critérios e taxas de amortização utilizadas.</w:t>
            </w:r>
          </w:p>
        </w:tc>
        <w:tc>
          <w:tcPr>
            <w:tcW w:w="1382" w:type="dxa"/>
            <w:vAlign w:val="center"/>
          </w:tcPr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Proc.</w:t>
            </w:r>
          </w:p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4B4649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14</w:t>
            </w:r>
          </w:p>
        </w:tc>
        <w:tc>
          <w:tcPr>
            <w:tcW w:w="8204" w:type="dxa"/>
            <w:vAlign w:val="center"/>
          </w:tcPr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Analisar adequacidade do impacto dos abates e alienações ocorridas, na rubrica de amortizações acumuladas.</w:t>
            </w:r>
          </w:p>
        </w:tc>
        <w:tc>
          <w:tcPr>
            <w:tcW w:w="1382" w:type="dxa"/>
            <w:vAlign w:val="center"/>
          </w:tcPr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Proc.</w:t>
            </w:r>
          </w:p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</w:t>
            </w:r>
          </w:p>
        </w:tc>
      </w:tr>
      <w:tr w:rsidR="004B4649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15</w:t>
            </w:r>
          </w:p>
        </w:tc>
        <w:tc>
          <w:tcPr>
            <w:tcW w:w="8204" w:type="dxa"/>
            <w:vAlign w:val="center"/>
          </w:tcPr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Verificar divulgações pertinentes no anexo ao balanço e demonstração dos resultados.</w:t>
            </w:r>
          </w:p>
        </w:tc>
        <w:tc>
          <w:tcPr>
            <w:tcW w:w="1382" w:type="dxa"/>
            <w:vAlign w:val="center"/>
          </w:tcPr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Outros Proc.</w:t>
            </w:r>
          </w:p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Substantivos</w:t>
            </w:r>
          </w:p>
        </w:tc>
      </w:tr>
      <w:tr w:rsidR="004B4649" w:rsidRPr="005C3E91" w:rsidTr="006A5890">
        <w:trPr>
          <w:jc w:val="center"/>
        </w:trPr>
        <w:tc>
          <w:tcPr>
            <w:tcW w:w="550" w:type="dxa"/>
            <w:vAlign w:val="center"/>
          </w:tcPr>
          <w:p w:rsidR="004B4649" w:rsidRPr="00B74BEC" w:rsidRDefault="004B4649" w:rsidP="001D5E19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16</w:t>
            </w:r>
          </w:p>
        </w:tc>
        <w:tc>
          <w:tcPr>
            <w:tcW w:w="8204" w:type="dxa"/>
            <w:vAlign w:val="center"/>
          </w:tcPr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Em geral, validar a consistência da política de capitalização adoptada.</w:t>
            </w:r>
          </w:p>
        </w:tc>
        <w:tc>
          <w:tcPr>
            <w:tcW w:w="1382" w:type="dxa"/>
            <w:vAlign w:val="center"/>
          </w:tcPr>
          <w:p w:rsidR="001D5E1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Outros Proc.</w:t>
            </w:r>
          </w:p>
          <w:p w:rsidR="004B4649" w:rsidRPr="005C3E91" w:rsidRDefault="001D5E19" w:rsidP="001D5E19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  <w:sz w:val="23"/>
                <w:szCs w:val="23"/>
              </w:rPr>
              <w:t>Substantivos</w:t>
            </w:r>
          </w:p>
        </w:tc>
      </w:tr>
    </w:tbl>
    <w:p w:rsidR="0082100B" w:rsidRPr="005C3E91" w:rsidRDefault="0082100B" w:rsidP="0082100B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24"/>
        </w:rPr>
      </w:pPr>
    </w:p>
    <w:p w:rsidR="00B74BEC" w:rsidRPr="006A5890" w:rsidRDefault="00B74BEC" w:rsidP="00B74BEC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 w:rsidRPr="006A5890">
        <w:rPr>
          <w:rFonts w:ascii="Agency FB" w:hAnsi="Agency FB"/>
          <w:b/>
          <w:color w:val="31849B" w:themeColor="accent5" w:themeShade="BF"/>
          <w:sz w:val="32"/>
        </w:rPr>
        <w:t>CLIENTES</w:t>
      </w:r>
    </w:p>
    <w:tbl>
      <w:tblPr>
        <w:tblStyle w:val="TableGrid"/>
        <w:tblW w:w="10119" w:type="dxa"/>
        <w:jc w:val="center"/>
        <w:tblInd w:w="-45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Look w:val="04A0" w:firstRow="1" w:lastRow="0" w:firstColumn="1" w:lastColumn="0" w:noHBand="0" w:noVBand="1"/>
      </w:tblPr>
      <w:tblGrid>
        <w:gridCol w:w="554"/>
        <w:gridCol w:w="8896"/>
        <w:gridCol w:w="669"/>
      </w:tblGrid>
      <w:tr w:rsidR="00B74BEC" w:rsidRPr="00B74BEC" w:rsidTr="00172C37">
        <w:trPr>
          <w:jc w:val="center"/>
        </w:trPr>
        <w:tc>
          <w:tcPr>
            <w:tcW w:w="554" w:type="dxa"/>
            <w:vAlign w:val="center"/>
          </w:tcPr>
          <w:p w:rsidR="00B74BEC" w:rsidRPr="00B74BEC" w:rsidRDefault="00B74BEC" w:rsidP="00172C37">
            <w:pPr>
              <w:jc w:val="center"/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Nº</w:t>
            </w:r>
          </w:p>
        </w:tc>
        <w:tc>
          <w:tcPr>
            <w:tcW w:w="8896" w:type="dxa"/>
            <w:vAlign w:val="center"/>
          </w:tcPr>
          <w:p w:rsidR="00B74BEC" w:rsidRPr="00B74BEC" w:rsidRDefault="00B74BEC" w:rsidP="00172C37">
            <w:pPr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Procedimento</w:t>
            </w:r>
          </w:p>
        </w:tc>
        <w:tc>
          <w:tcPr>
            <w:tcW w:w="669" w:type="dxa"/>
            <w:vAlign w:val="center"/>
          </w:tcPr>
          <w:p w:rsidR="00B74BEC" w:rsidRPr="00B74BEC" w:rsidRDefault="00B74BEC" w:rsidP="00172C37">
            <w:pPr>
              <w:rPr>
                <w:rFonts w:ascii="Agency FB" w:hAnsi="Agency FB"/>
                <w:b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b/>
                <w:color w:val="31849B" w:themeColor="accent5" w:themeShade="BF"/>
                <w:sz w:val="28"/>
              </w:rPr>
              <w:t>Tipo</w:t>
            </w:r>
          </w:p>
        </w:tc>
      </w:tr>
      <w:tr w:rsidR="00B74BEC" w:rsidRPr="005C3E91" w:rsidTr="00172C37">
        <w:trPr>
          <w:jc w:val="center"/>
        </w:trPr>
        <w:tc>
          <w:tcPr>
            <w:tcW w:w="554" w:type="dxa"/>
            <w:vAlign w:val="center"/>
          </w:tcPr>
          <w:p w:rsidR="00B74BEC" w:rsidRPr="00B74BEC" w:rsidRDefault="00B74BEC" w:rsidP="00172C37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1</w:t>
            </w:r>
          </w:p>
        </w:tc>
        <w:tc>
          <w:tcPr>
            <w:tcW w:w="8896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Análise do Sistema de Controlo Interno associado às encomendas, emissão de facturas e cobranças</w:t>
            </w:r>
          </w:p>
        </w:tc>
        <w:tc>
          <w:tcPr>
            <w:tcW w:w="669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PC</w:t>
            </w:r>
          </w:p>
        </w:tc>
      </w:tr>
      <w:tr w:rsidR="00B74BEC" w:rsidRPr="005C3E91" w:rsidTr="00172C37">
        <w:trPr>
          <w:jc w:val="center"/>
        </w:trPr>
        <w:tc>
          <w:tcPr>
            <w:tcW w:w="554" w:type="dxa"/>
            <w:vAlign w:val="center"/>
          </w:tcPr>
          <w:p w:rsidR="00B74BEC" w:rsidRPr="00B74BEC" w:rsidRDefault="00B74BEC" w:rsidP="00172C37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2</w:t>
            </w:r>
          </w:p>
        </w:tc>
        <w:tc>
          <w:tcPr>
            <w:tcW w:w="8896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Revisão analítica de saldos</w:t>
            </w:r>
          </w:p>
        </w:tc>
        <w:tc>
          <w:tcPr>
            <w:tcW w:w="669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RA</w:t>
            </w:r>
          </w:p>
        </w:tc>
      </w:tr>
      <w:tr w:rsidR="00B74BEC" w:rsidRPr="005C3E91" w:rsidTr="00172C37">
        <w:trPr>
          <w:jc w:val="center"/>
        </w:trPr>
        <w:tc>
          <w:tcPr>
            <w:tcW w:w="554" w:type="dxa"/>
            <w:vAlign w:val="center"/>
          </w:tcPr>
          <w:p w:rsidR="00B74BEC" w:rsidRPr="00B74BEC" w:rsidRDefault="00B74BEC" w:rsidP="00172C37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3</w:t>
            </w:r>
          </w:p>
        </w:tc>
        <w:tc>
          <w:tcPr>
            <w:tcW w:w="8896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Circularização de clientes</w:t>
            </w:r>
          </w:p>
        </w:tc>
        <w:tc>
          <w:tcPr>
            <w:tcW w:w="669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  <w:tr w:rsidR="00B74BEC" w:rsidRPr="005C3E91" w:rsidTr="00172C37">
        <w:trPr>
          <w:jc w:val="center"/>
        </w:trPr>
        <w:tc>
          <w:tcPr>
            <w:tcW w:w="554" w:type="dxa"/>
            <w:vAlign w:val="center"/>
          </w:tcPr>
          <w:p w:rsidR="00B74BEC" w:rsidRPr="00B74BEC" w:rsidRDefault="00B74BEC" w:rsidP="00172C37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4</w:t>
            </w:r>
          </w:p>
        </w:tc>
        <w:tc>
          <w:tcPr>
            <w:tcW w:w="8896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Para respostas discordantes e respostas não obtidas, realização de procedimentos alternativos</w:t>
            </w:r>
          </w:p>
        </w:tc>
        <w:tc>
          <w:tcPr>
            <w:tcW w:w="669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  <w:tr w:rsidR="00B74BEC" w:rsidRPr="005C3E91" w:rsidTr="00172C37">
        <w:trPr>
          <w:jc w:val="center"/>
        </w:trPr>
        <w:tc>
          <w:tcPr>
            <w:tcW w:w="554" w:type="dxa"/>
            <w:vAlign w:val="center"/>
          </w:tcPr>
          <w:p w:rsidR="00B74BEC" w:rsidRPr="00B74BEC" w:rsidRDefault="00B74BEC" w:rsidP="00172C37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5</w:t>
            </w:r>
          </w:p>
        </w:tc>
        <w:tc>
          <w:tcPr>
            <w:tcW w:w="8896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Análise da evolução dos saldos de clientes de cobrança duvidosa e respectivos ajustamentos</w:t>
            </w:r>
          </w:p>
        </w:tc>
        <w:tc>
          <w:tcPr>
            <w:tcW w:w="669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  <w:tr w:rsidR="00B74BEC" w:rsidRPr="005C3E91" w:rsidTr="00172C37">
        <w:trPr>
          <w:jc w:val="center"/>
        </w:trPr>
        <w:tc>
          <w:tcPr>
            <w:tcW w:w="554" w:type="dxa"/>
            <w:vAlign w:val="center"/>
          </w:tcPr>
          <w:p w:rsidR="00B74BEC" w:rsidRPr="00B74BEC" w:rsidRDefault="00B74BEC" w:rsidP="00172C37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6</w:t>
            </w:r>
          </w:p>
        </w:tc>
        <w:tc>
          <w:tcPr>
            <w:tcW w:w="8896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Análise dos saldos sem movimento e aferição da necessidade de criação de novos ajustamentos</w:t>
            </w:r>
          </w:p>
        </w:tc>
        <w:tc>
          <w:tcPr>
            <w:tcW w:w="669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  <w:tr w:rsidR="00B74BEC" w:rsidRPr="005C3E91" w:rsidTr="00172C37">
        <w:trPr>
          <w:jc w:val="center"/>
        </w:trPr>
        <w:tc>
          <w:tcPr>
            <w:tcW w:w="554" w:type="dxa"/>
            <w:vAlign w:val="center"/>
          </w:tcPr>
          <w:p w:rsidR="00B74BEC" w:rsidRPr="00B74BEC" w:rsidRDefault="00B74BEC" w:rsidP="00172C37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7</w:t>
            </w:r>
          </w:p>
        </w:tc>
        <w:tc>
          <w:tcPr>
            <w:tcW w:w="8896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Verificação das respostas obtidas de advogados quanto a reclamações de créditos efectuados pela empresa</w:t>
            </w:r>
          </w:p>
        </w:tc>
        <w:tc>
          <w:tcPr>
            <w:tcW w:w="669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  <w:tr w:rsidR="00B74BEC" w:rsidRPr="005C3E91" w:rsidTr="00172C37">
        <w:trPr>
          <w:jc w:val="center"/>
        </w:trPr>
        <w:tc>
          <w:tcPr>
            <w:tcW w:w="554" w:type="dxa"/>
            <w:vAlign w:val="center"/>
          </w:tcPr>
          <w:p w:rsidR="00B74BEC" w:rsidRPr="00B74BEC" w:rsidRDefault="00B74BEC" w:rsidP="00172C37">
            <w:pPr>
              <w:jc w:val="center"/>
              <w:rPr>
                <w:rFonts w:ascii="Agency FB" w:hAnsi="Agency FB"/>
                <w:color w:val="31849B" w:themeColor="accent5" w:themeShade="BF"/>
                <w:sz w:val="28"/>
              </w:rPr>
            </w:pPr>
            <w:r w:rsidRPr="00B74BEC">
              <w:rPr>
                <w:rFonts w:ascii="Agency FB" w:hAnsi="Agency FB"/>
                <w:color w:val="31849B" w:themeColor="accent5" w:themeShade="BF"/>
                <w:sz w:val="28"/>
              </w:rPr>
              <w:t>8</w:t>
            </w:r>
          </w:p>
        </w:tc>
        <w:tc>
          <w:tcPr>
            <w:tcW w:w="8896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Conciliação dos registos de letras, com saldos de clientes títulos a receber</w:t>
            </w:r>
          </w:p>
        </w:tc>
        <w:tc>
          <w:tcPr>
            <w:tcW w:w="669" w:type="dxa"/>
            <w:vAlign w:val="center"/>
          </w:tcPr>
          <w:p w:rsidR="00B74BEC" w:rsidRPr="005C3E91" w:rsidRDefault="00B74BEC" w:rsidP="00172C37">
            <w:pPr>
              <w:autoSpaceDE w:val="0"/>
              <w:autoSpaceDN w:val="0"/>
              <w:adjustRightInd w:val="0"/>
              <w:rPr>
                <w:rFonts w:ascii="Times-Roman" w:hAnsi="Times-Roman" w:cs="Times-Roman"/>
                <w:color w:val="31849B" w:themeColor="accent5" w:themeShade="BF"/>
              </w:rPr>
            </w:pPr>
            <w:r w:rsidRPr="005C3E91">
              <w:rPr>
                <w:rFonts w:ascii="Times-Roman" w:hAnsi="Times-Roman" w:cs="Times-Roman"/>
                <w:color w:val="31849B" w:themeColor="accent5" w:themeShade="BF"/>
              </w:rPr>
              <w:t>PS</w:t>
            </w:r>
          </w:p>
        </w:tc>
      </w:tr>
    </w:tbl>
    <w:p w:rsidR="007F12BB" w:rsidRDefault="007F12BB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3"/>
          <w:szCs w:val="23"/>
        </w:rPr>
      </w:pPr>
    </w:p>
    <w:p w:rsidR="009804B0" w:rsidRPr="009804B0" w:rsidRDefault="009804B0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32"/>
          <w:szCs w:val="32"/>
        </w:rPr>
      </w:pPr>
    </w:p>
    <w:p w:rsidR="009804B0" w:rsidRPr="009804B0" w:rsidRDefault="009804B0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32"/>
          <w:szCs w:val="32"/>
        </w:rPr>
      </w:pPr>
    </w:p>
    <w:p w:rsidR="009804B0" w:rsidRDefault="009804B0" w:rsidP="009804B0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>
        <w:rPr>
          <w:rFonts w:ascii="Agency FB" w:hAnsi="Agency FB"/>
          <w:b/>
          <w:color w:val="31849B" w:themeColor="accent5" w:themeShade="BF"/>
          <w:sz w:val="32"/>
        </w:rPr>
        <w:t>Investimentos Financeiros</w:t>
      </w:r>
    </w:p>
    <w:tbl>
      <w:tblPr>
        <w:tblW w:w="10225" w:type="dxa"/>
        <w:tblInd w:w="-78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8099"/>
        <w:gridCol w:w="1535"/>
      </w:tblGrid>
      <w:tr w:rsidR="009804B0" w:rsidRP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b/>
                <w:color w:val="31849B"/>
                <w:sz w:val="28"/>
              </w:rPr>
              <w:t>N.º</w:t>
            </w:r>
          </w:p>
        </w:tc>
        <w:tc>
          <w:tcPr>
            <w:tcW w:w="8099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b/>
                <w:color w:val="31849B"/>
                <w:sz w:val="28"/>
              </w:rPr>
              <w:t>Procedimento</w:t>
            </w:r>
          </w:p>
        </w:tc>
        <w:tc>
          <w:tcPr>
            <w:tcW w:w="153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b/>
                <w:color w:val="31849B"/>
                <w:sz w:val="28"/>
              </w:rPr>
              <w:t>Tipo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1</w:t>
            </w:r>
          </w:p>
        </w:tc>
        <w:tc>
          <w:tcPr>
            <w:tcW w:w="8099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Fazer levantamento dos controlos implementados nesta área (aquisição, detenção e alienação)</w:t>
            </w:r>
          </w:p>
        </w:tc>
        <w:tc>
          <w:tcPr>
            <w:tcW w:w="153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Levantamento SC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2</w:t>
            </w:r>
          </w:p>
        </w:tc>
        <w:tc>
          <w:tcPr>
            <w:tcW w:w="8099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Testar os controlos implementados para 30% dos movimentos ocorridos no ano, e concluir sobre o cumprimentos dos procedimentos definidos</w:t>
            </w:r>
          </w:p>
        </w:tc>
        <w:tc>
          <w:tcPr>
            <w:tcW w:w="153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Teste conformidade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3</w:t>
            </w:r>
          </w:p>
        </w:tc>
        <w:tc>
          <w:tcPr>
            <w:tcW w:w="8099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Verificar se as aquisições e alienações de títulos são devidamente e expressamente autorizadas por responsável competente</w:t>
            </w:r>
          </w:p>
        </w:tc>
        <w:tc>
          <w:tcPr>
            <w:tcW w:w="153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Teste conformidade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4</w:t>
            </w:r>
          </w:p>
        </w:tc>
        <w:tc>
          <w:tcPr>
            <w:tcW w:w="8099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Circularizar os bancos depositários dos títulos, a aferir sobre a existência e valor dos títulos detidos</w:t>
            </w:r>
          </w:p>
        </w:tc>
        <w:tc>
          <w:tcPr>
            <w:tcW w:w="153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Teste substantivo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5</w:t>
            </w:r>
          </w:p>
        </w:tc>
        <w:tc>
          <w:tcPr>
            <w:tcW w:w="8099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Verificar certidões registo comercial das empresas participadas</w:t>
            </w:r>
          </w:p>
        </w:tc>
        <w:tc>
          <w:tcPr>
            <w:tcW w:w="153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Teste Substantivo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6</w:t>
            </w:r>
          </w:p>
        </w:tc>
        <w:tc>
          <w:tcPr>
            <w:tcW w:w="8099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Testar as mais ou menos valias realizadas nas operações de alienação mediante confirmação dos valores recebidos pela alienação nos extractos bancários</w:t>
            </w:r>
          </w:p>
        </w:tc>
        <w:tc>
          <w:tcPr>
            <w:tcW w:w="153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Teste substantivo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7</w:t>
            </w:r>
          </w:p>
        </w:tc>
        <w:tc>
          <w:tcPr>
            <w:tcW w:w="8099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Verificar critério valorimétrico adoptado, sua adequacidade e consistência</w:t>
            </w:r>
          </w:p>
        </w:tc>
        <w:tc>
          <w:tcPr>
            <w:tcW w:w="153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Teste substantivo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8</w:t>
            </w:r>
          </w:p>
        </w:tc>
        <w:tc>
          <w:tcPr>
            <w:tcW w:w="8099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Aferir sobre a necessidade de constituição de ajustamentos para os casos em que o valor de mercado seja inferior ao custo de aquisição</w:t>
            </w:r>
          </w:p>
        </w:tc>
        <w:tc>
          <w:tcPr>
            <w:tcW w:w="153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Teste substantivo</w:t>
            </w:r>
          </w:p>
        </w:tc>
      </w:tr>
    </w:tbl>
    <w:p w:rsidR="009804B0" w:rsidRPr="009804B0" w:rsidRDefault="009804B0" w:rsidP="009804B0">
      <w:pPr>
        <w:spacing w:after="0" w:line="240" w:lineRule="auto"/>
        <w:jc w:val="both"/>
        <w:rPr>
          <w:rFonts w:ascii="Agency FB" w:hAnsi="Agency FB"/>
          <w:color w:val="31849B" w:themeColor="accent5" w:themeShade="BF"/>
          <w:sz w:val="24"/>
        </w:rPr>
      </w:pPr>
    </w:p>
    <w:p w:rsidR="009804B0" w:rsidRDefault="009804B0" w:rsidP="009804B0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>
        <w:rPr>
          <w:rFonts w:ascii="Agency FB" w:hAnsi="Agency FB"/>
          <w:b/>
          <w:color w:val="31849B" w:themeColor="accent5" w:themeShade="BF"/>
          <w:sz w:val="32"/>
        </w:rPr>
        <w:t>Provisões</w:t>
      </w:r>
    </w:p>
    <w:tbl>
      <w:tblPr>
        <w:tblW w:w="10207" w:type="dxa"/>
        <w:tblInd w:w="-78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8765"/>
        <w:gridCol w:w="851"/>
      </w:tblGrid>
      <w:tr w:rsidR="009804B0" w:rsidRP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b/>
                <w:color w:val="31849B"/>
                <w:sz w:val="28"/>
              </w:rPr>
              <w:t>N.º</w:t>
            </w:r>
          </w:p>
        </w:tc>
        <w:tc>
          <w:tcPr>
            <w:tcW w:w="876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b/>
                <w:color w:val="31849B"/>
                <w:sz w:val="28"/>
              </w:rPr>
              <w:t>Procedimento</w:t>
            </w:r>
          </w:p>
        </w:tc>
        <w:tc>
          <w:tcPr>
            <w:tcW w:w="85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b/>
                <w:color w:val="31849B"/>
                <w:sz w:val="28"/>
              </w:rPr>
              <w:t>Tipo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1</w:t>
            </w:r>
          </w:p>
        </w:tc>
        <w:tc>
          <w:tcPr>
            <w:tcW w:w="876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Revisão Analítica dos valores registados</w:t>
            </w:r>
          </w:p>
        </w:tc>
        <w:tc>
          <w:tcPr>
            <w:tcW w:w="85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PSRA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2</w:t>
            </w:r>
          </w:p>
        </w:tc>
        <w:tc>
          <w:tcPr>
            <w:tcW w:w="876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Circularização a advogados</w:t>
            </w:r>
          </w:p>
        </w:tc>
        <w:tc>
          <w:tcPr>
            <w:tcW w:w="85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PS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3</w:t>
            </w:r>
          </w:p>
        </w:tc>
        <w:tc>
          <w:tcPr>
            <w:tcW w:w="876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Verificação dos relatórios dos planos de pensões (pensões de reforma)</w:t>
            </w:r>
          </w:p>
        </w:tc>
        <w:tc>
          <w:tcPr>
            <w:tcW w:w="85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PS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4</w:t>
            </w:r>
          </w:p>
        </w:tc>
        <w:tc>
          <w:tcPr>
            <w:tcW w:w="876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Quantificação das garantias atribuídas por vendas efectuadas</w:t>
            </w:r>
          </w:p>
        </w:tc>
        <w:tc>
          <w:tcPr>
            <w:tcW w:w="85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PS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5</w:t>
            </w:r>
          </w:p>
        </w:tc>
        <w:tc>
          <w:tcPr>
            <w:tcW w:w="876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Verificação de documentos subsequentes e análise da existência de documentos do ano em análise</w:t>
            </w:r>
          </w:p>
        </w:tc>
        <w:tc>
          <w:tcPr>
            <w:tcW w:w="85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PS</w:t>
            </w:r>
          </w:p>
        </w:tc>
      </w:tr>
      <w:tr w:rsidR="009804B0" w:rsidTr="009804B0">
        <w:tc>
          <w:tcPr>
            <w:tcW w:w="59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9804B0">
              <w:rPr>
                <w:rFonts w:ascii="Agency FB" w:eastAsia="Calibri" w:hAnsi="Agency FB" w:cs="Times New Roman"/>
                <w:color w:val="31849B"/>
                <w:sz w:val="28"/>
              </w:rPr>
              <w:t>6</w:t>
            </w:r>
          </w:p>
        </w:tc>
        <w:tc>
          <w:tcPr>
            <w:tcW w:w="8765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Circularização de bancos</w:t>
            </w:r>
          </w:p>
        </w:tc>
        <w:tc>
          <w:tcPr>
            <w:tcW w:w="851" w:type="dxa"/>
            <w:vAlign w:val="center"/>
          </w:tcPr>
          <w:p w:rsidR="009804B0" w:rsidRPr="009804B0" w:rsidRDefault="009804B0" w:rsidP="009804B0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9804B0">
              <w:rPr>
                <w:rFonts w:ascii="Times-Roman" w:eastAsia="Calibri" w:hAnsi="Times-Roman" w:cs="Times-Roman"/>
                <w:color w:val="31849B"/>
              </w:rPr>
              <w:t>PS</w:t>
            </w:r>
          </w:p>
        </w:tc>
      </w:tr>
    </w:tbl>
    <w:p w:rsidR="009804B0" w:rsidRPr="00BA7C72" w:rsidRDefault="009804B0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BA7C72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>
        <w:rPr>
          <w:rFonts w:ascii="Agency FB" w:hAnsi="Agency FB"/>
          <w:b/>
          <w:color w:val="31849B" w:themeColor="accent5" w:themeShade="BF"/>
          <w:sz w:val="32"/>
        </w:rPr>
        <w:t>Estado e Entes Públicos</w:t>
      </w:r>
    </w:p>
    <w:tbl>
      <w:tblPr>
        <w:tblW w:w="10225" w:type="dxa"/>
        <w:tblInd w:w="-78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8765"/>
        <w:gridCol w:w="869"/>
      </w:tblGrid>
      <w:tr w:rsidR="00BA7C72" w:rsidRPr="00BA7C72" w:rsidTr="00910850">
        <w:tc>
          <w:tcPr>
            <w:tcW w:w="59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b/>
                <w:color w:val="31849B"/>
                <w:sz w:val="28"/>
              </w:rPr>
              <w:t>N.º</w:t>
            </w:r>
          </w:p>
        </w:tc>
        <w:tc>
          <w:tcPr>
            <w:tcW w:w="8765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b/>
                <w:color w:val="31849B"/>
                <w:sz w:val="28"/>
              </w:rPr>
              <w:t>Procedimento</w:t>
            </w:r>
          </w:p>
        </w:tc>
        <w:tc>
          <w:tcPr>
            <w:tcW w:w="869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b/>
                <w:color w:val="31849B"/>
                <w:sz w:val="28"/>
              </w:rPr>
              <w:t>Tipo</w:t>
            </w:r>
          </w:p>
        </w:tc>
      </w:tr>
      <w:tr w:rsidR="00BA7C72" w:rsidTr="00910850">
        <w:tc>
          <w:tcPr>
            <w:tcW w:w="59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1</w:t>
            </w:r>
          </w:p>
        </w:tc>
        <w:tc>
          <w:tcPr>
            <w:tcW w:w="8765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Verificar os procedimentos de apuramento dos impostos (IRS, Seg Social, IVA e IRC)</w:t>
            </w:r>
          </w:p>
        </w:tc>
        <w:tc>
          <w:tcPr>
            <w:tcW w:w="869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PC</w:t>
            </w:r>
          </w:p>
        </w:tc>
      </w:tr>
      <w:tr w:rsidR="00BA7C72" w:rsidTr="00910850">
        <w:tc>
          <w:tcPr>
            <w:tcW w:w="59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2</w:t>
            </w:r>
          </w:p>
        </w:tc>
        <w:tc>
          <w:tcPr>
            <w:tcW w:w="8765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Definição do ambiente fiscal onde se integra a entidade</w:t>
            </w:r>
          </w:p>
        </w:tc>
        <w:tc>
          <w:tcPr>
            <w:tcW w:w="869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PC</w:t>
            </w:r>
          </w:p>
        </w:tc>
      </w:tr>
      <w:tr w:rsidR="00BA7C72" w:rsidTr="00910850">
        <w:tc>
          <w:tcPr>
            <w:tcW w:w="59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3</w:t>
            </w:r>
          </w:p>
        </w:tc>
        <w:tc>
          <w:tcPr>
            <w:tcW w:w="8765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Revisão analítica dos saldos apresentados nas rubricas EOEP</w:t>
            </w:r>
          </w:p>
        </w:tc>
        <w:tc>
          <w:tcPr>
            <w:tcW w:w="869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RA</w:t>
            </w:r>
          </w:p>
        </w:tc>
      </w:tr>
      <w:tr w:rsidR="00BA7C72" w:rsidTr="00910850">
        <w:tc>
          <w:tcPr>
            <w:tcW w:w="59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4</w:t>
            </w:r>
          </w:p>
        </w:tc>
        <w:tc>
          <w:tcPr>
            <w:tcW w:w="8765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Pedidos de certidões de dívida às autoridades competentes e confrontação dos valores com os saldos apresentados</w:t>
            </w:r>
          </w:p>
        </w:tc>
        <w:tc>
          <w:tcPr>
            <w:tcW w:w="869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PS</w:t>
            </w:r>
          </w:p>
        </w:tc>
      </w:tr>
      <w:tr w:rsidR="00BA7C72" w:rsidTr="00910850">
        <w:tc>
          <w:tcPr>
            <w:tcW w:w="59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5</w:t>
            </w:r>
          </w:p>
        </w:tc>
        <w:tc>
          <w:tcPr>
            <w:tcW w:w="8765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Verificação por amostragem (x meses) dos apuramentos de IRS, Seg. Social e IVA efectuados, e sua repercussão contabilística</w:t>
            </w:r>
          </w:p>
        </w:tc>
        <w:tc>
          <w:tcPr>
            <w:tcW w:w="869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PS</w:t>
            </w:r>
          </w:p>
        </w:tc>
      </w:tr>
      <w:tr w:rsidR="00BA7C72" w:rsidTr="00910850">
        <w:tc>
          <w:tcPr>
            <w:tcW w:w="59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6</w:t>
            </w:r>
          </w:p>
        </w:tc>
        <w:tc>
          <w:tcPr>
            <w:tcW w:w="8765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Revisão da estimativa de imposto de IRC e sua contabilização</w:t>
            </w:r>
          </w:p>
        </w:tc>
        <w:tc>
          <w:tcPr>
            <w:tcW w:w="869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PS</w:t>
            </w:r>
          </w:p>
        </w:tc>
      </w:tr>
      <w:tr w:rsidR="00BA7C72" w:rsidTr="00910850">
        <w:tc>
          <w:tcPr>
            <w:tcW w:w="59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7</w:t>
            </w:r>
          </w:p>
        </w:tc>
        <w:tc>
          <w:tcPr>
            <w:tcW w:w="8765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Avaliação de eventuais contingências fiscais</w:t>
            </w:r>
          </w:p>
        </w:tc>
        <w:tc>
          <w:tcPr>
            <w:tcW w:w="869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PS</w:t>
            </w:r>
          </w:p>
        </w:tc>
      </w:tr>
      <w:tr w:rsidR="00BA7C72" w:rsidTr="00910850">
        <w:tc>
          <w:tcPr>
            <w:tcW w:w="59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8</w:t>
            </w:r>
          </w:p>
        </w:tc>
        <w:tc>
          <w:tcPr>
            <w:tcW w:w="8765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Verificação das divulgações obrigatórias, nomeadamente moras e garantias prestadas</w:t>
            </w:r>
          </w:p>
        </w:tc>
        <w:tc>
          <w:tcPr>
            <w:tcW w:w="869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PS</w:t>
            </w:r>
          </w:p>
        </w:tc>
      </w:tr>
    </w:tbl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BA7C72" w:rsidRDefault="00BA7C72" w:rsidP="00BA7C72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>
        <w:rPr>
          <w:rFonts w:ascii="Agency FB" w:hAnsi="Agency FB"/>
          <w:b/>
          <w:color w:val="31849B" w:themeColor="accent5" w:themeShade="BF"/>
          <w:sz w:val="32"/>
        </w:rPr>
        <w:t>Fornecedores e Imobilizado</w:t>
      </w:r>
    </w:p>
    <w:tbl>
      <w:tblPr>
        <w:tblW w:w="10225" w:type="dxa"/>
        <w:tblInd w:w="-78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"/>
        <w:gridCol w:w="8191"/>
        <w:gridCol w:w="1522"/>
      </w:tblGrid>
      <w:tr w:rsidR="00BA7C72" w:rsidRPr="00BA7C72" w:rsidTr="00910850">
        <w:tc>
          <w:tcPr>
            <w:tcW w:w="5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b/>
                <w:color w:val="31849B"/>
                <w:sz w:val="28"/>
              </w:rPr>
              <w:t>N.º</w:t>
            </w:r>
          </w:p>
        </w:tc>
        <w:tc>
          <w:tcPr>
            <w:tcW w:w="82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b/>
                <w:color w:val="31849B"/>
                <w:sz w:val="28"/>
              </w:rPr>
              <w:t>Procedimento</w:t>
            </w:r>
          </w:p>
        </w:tc>
        <w:tc>
          <w:tcPr>
            <w:tcW w:w="150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b/>
                <w:color w:val="31849B"/>
                <w:sz w:val="28"/>
              </w:rPr>
              <w:t>Tipo</w:t>
            </w:r>
          </w:p>
        </w:tc>
      </w:tr>
      <w:tr w:rsidR="00BA7C72" w:rsidTr="00910850">
        <w:tc>
          <w:tcPr>
            <w:tcW w:w="5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1</w:t>
            </w:r>
          </w:p>
        </w:tc>
        <w:tc>
          <w:tcPr>
            <w:tcW w:w="82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Revisão dos controlos internos (ex: planos de investimentos, autorizações, controlos dos pedidos de propostas e pedidos de financiamento)</w:t>
            </w:r>
          </w:p>
        </w:tc>
        <w:tc>
          <w:tcPr>
            <w:tcW w:w="150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Conformidade</w:t>
            </w:r>
          </w:p>
        </w:tc>
      </w:tr>
      <w:tr w:rsidR="00BA7C72" w:rsidTr="00910850">
        <w:tc>
          <w:tcPr>
            <w:tcW w:w="5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2</w:t>
            </w:r>
          </w:p>
        </w:tc>
        <w:tc>
          <w:tcPr>
            <w:tcW w:w="82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Revisão analítica dos saldos da rubrica</w:t>
            </w:r>
          </w:p>
        </w:tc>
        <w:tc>
          <w:tcPr>
            <w:tcW w:w="150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Revisão analítica</w:t>
            </w:r>
          </w:p>
        </w:tc>
      </w:tr>
      <w:tr w:rsidR="00BA7C72" w:rsidTr="00910850">
        <w:tc>
          <w:tcPr>
            <w:tcW w:w="5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3</w:t>
            </w:r>
          </w:p>
        </w:tc>
        <w:tc>
          <w:tcPr>
            <w:tcW w:w="82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Verificação dos contratos de leasing e ALD em vigor</w:t>
            </w:r>
          </w:p>
        </w:tc>
        <w:tc>
          <w:tcPr>
            <w:tcW w:w="150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BA7C72" w:rsidTr="00910850">
        <w:tc>
          <w:tcPr>
            <w:tcW w:w="5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4</w:t>
            </w:r>
          </w:p>
        </w:tc>
        <w:tc>
          <w:tcPr>
            <w:tcW w:w="82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Verificação dos planos de pagamento (cash flows) dos contratos e outros planos de pagamento acordados mas não contratados e cruzamento com dívidas expressas na contabilidade</w:t>
            </w:r>
          </w:p>
        </w:tc>
        <w:tc>
          <w:tcPr>
            <w:tcW w:w="150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BA7C72" w:rsidTr="00910850">
        <w:tc>
          <w:tcPr>
            <w:tcW w:w="5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5</w:t>
            </w:r>
          </w:p>
        </w:tc>
        <w:tc>
          <w:tcPr>
            <w:tcW w:w="82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Teste ao reconhecimento e especialização dos juros</w:t>
            </w:r>
          </w:p>
        </w:tc>
        <w:tc>
          <w:tcPr>
            <w:tcW w:w="150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BA7C72" w:rsidTr="00910850">
        <w:tc>
          <w:tcPr>
            <w:tcW w:w="5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6</w:t>
            </w:r>
          </w:p>
        </w:tc>
        <w:tc>
          <w:tcPr>
            <w:tcW w:w="82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Verificação dos títulos de propriedade dos bens sujeitos a registo</w:t>
            </w:r>
          </w:p>
        </w:tc>
        <w:tc>
          <w:tcPr>
            <w:tcW w:w="150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BA7C72" w:rsidTr="00910850">
        <w:tc>
          <w:tcPr>
            <w:tcW w:w="5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7</w:t>
            </w:r>
          </w:p>
        </w:tc>
        <w:tc>
          <w:tcPr>
            <w:tcW w:w="82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Verificação do reconhecimento como activos fixos dos bens fornecidos</w:t>
            </w:r>
          </w:p>
        </w:tc>
        <w:tc>
          <w:tcPr>
            <w:tcW w:w="150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BA7C72" w:rsidTr="00910850">
        <w:tc>
          <w:tcPr>
            <w:tcW w:w="5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A7C72">
              <w:rPr>
                <w:rFonts w:ascii="Agency FB" w:eastAsia="Calibri" w:hAnsi="Agency FB" w:cs="Times New Roman"/>
                <w:color w:val="31849B"/>
                <w:sz w:val="28"/>
              </w:rPr>
              <w:t>8</w:t>
            </w:r>
          </w:p>
        </w:tc>
        <w:tc>
          <w:tcPr>
            <w:tcW w:w="8212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Circularizações aos fornecedores de imobilizado</w:t>
            </w:r>
          </w:p>
        </w:tc>
        <w:tc>
          <w:tcPr>
            <w:tcW w:w="1501" w:type="dxa"/>
            <w:vAlign w:val="center"/>
          </w:tcPr>
          <w:p w:rsidR="00BA7C72" w:rsidRPr="00BA7C72" w:rsidRDefault="00BA7C72" w:rsidP="00BA7C72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A7C72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</w:tbl>
    <w:p w:rsidR="00BA7C72" w:rsidRDefault="00BA7C72" w:rsidP="00A83E3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31849B" w:themeColor="accent5" w:themeShade="BF"/>
          <w:sz w:val="24"/>
          <w:szCs w:val="24"/>
        </w:rPr>
      </w:pPr>
    </w:p>
    <w:p w:rsidR="00097818" w:rsidRDefault="00097818" w:rsidP="00097818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 w:rsidRPr="00097818">
        <w:rPr>
          <w:rFonts w:ascii="Agency FB" w:eastAsia="Calibri" w:hAnsi="Agency FB" w:cs="Times New Roman"/>
          <w:b/>
          <w:color w:val="31849B"/>
          <w:sz w:val="32"/>
        </w:rPr>
        <w:t>Provisões para Cobranças Duvidosas</w:t>
      </w:r>
    </w:p>
    <w:tbl>
      <w:tblPr>
        <w:tblW w:w="10225" w:type="dxa"/>
        <w:tblInd w:w="-78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8112"/>
        <w:gridCol w:w="1522"/>
      </w:tblGrid>
      <w:tr w:rsidR="00097818" w:rsidRPr="00097818" w:rsidTr="00910850">
        <w:tc>
          <w:tcPr>
            <w:tcW w:w="591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b/>
                <w:color w:val="31849B"/>
                <w:sz w:val="28"/>
              </w:rPr>
              <w:t>N.º</w:t>
            </w:r>
          </w:p>
        </w:tc>
        <w:tc>
          <w:tcPr>
            <w:tcW w:w="811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b/>
                <w:color w:val="31849B"/>
                <w:sz w:val="28"/>
              </w:rPr>
              <w:t>Procedimento</w:t>
            </w:r>
          </w:p>
        </w:tc>
        <w:tc>
          <w:tcPr>
            <w:tcW w:w="152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b/>
                <w:color w:val="31849B"/>
                <w:sz w:val="28"/>
              </w:rPr>
              <w:t>Tipo</w:t>
            </w:r>
          </w:p>
        </w:tc>
      </w:tr>
      <w:tr w:rsidR="00097818" w:rsidTr="00910850">
        <w:tc>
          <w:tcPr>
            <w:tcW w:w="591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color w:val="31849B"/>
                <w:sz w:val="28"/>
              </w:rPr>
              <w:t>1</w:t>
            </w:r>
          </w:p>
        </w:tc>
        <w:tc>
          <w:tcPr>
            <w:tcW w:w="811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Revisão do sistema implementado para controlo de antiguidade de saldos</w:t>
            </w:r>
          </w:p>
        </w:tc>
        <w:tc>
          <w:tcPr>
            <w:tcW w:w="152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Conformidade</w:t>
            </w:r>
          </w:p>
        </w:tc>
      </w:tr>
      <w:tr w:rsidR="00097818" w:rsidTr="00910850">
        <w:tc>
          <w:tcPr>
            <w:tcW w:w="591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color w:val="31849B"/>
                <w:sz w:val="28"/>
              </w:rPr>
              <w:t>2</w:t>
            </w:r>
          </w:p>
        </w:tc>
        <w:tc>
          <w:tcPr>
            <w:tcW w:w="811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Para uma amostra de 20 facturas já vencidas, testar se os controlos foram de facto aplicados</w:t>
            </w:r>
          </w:p>
        </w:tc>
        <w:tc>
          <w:tcPr>
            <w:tcW w:w="152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Conformidade</w:t>
            </w:r>
          </w:p>
        </w:tc>
      </w:tr>
      <w:tr w:rsidR="00097818" w:rsidTr="00910850">
        <w:tc>
          <w:tcPr>
            <w:tcW w:w="591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color w:val="31849B"/>
                <w:sz w:val="28"/>
              </w:rPr>
              <w:t>3</w:t>
            </w:r>
          </w:p>
        </w:tc>
        <w:tc>
          <w:tcPr>
            <w:tcW w:w="811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Revisão analítica da percentagem média de provisonamento face aos saldos de clientes e face ao volume de facturação (do exercício versus exercíos anteriores)</w:t>
            </w:r>
          </w:p>
        </w:tc>
        <w:tc>
          <w:tcPr>
            <w:tcW w:w="152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Revisão Analítica</w:t>
            </w:r>
          </w:p>
        </w:tc>
      </w:tr>
      <w:tr w:rsidR="00097818" w:rsidTr="00910850">
        <w:tc>
          <w:tcPr>
            <w:tcW w:w="591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color w:val="31849B"/>
                <w:sz w:val="28"/>
              </w:rPr>
              <w:t>4</w:t>
            </w:r>
          </w:p>
        </w:tc>
        <w:tc>
          <w:tcPr>
            <w:tcW w:w="811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Verificação da evolução dos saldos provisionados no exercício anterior</w:t>
            </w:r>
          </w:p>
        </w:tc>
        <w:tc>
          <w:tcPr>
            <w:tcW w:w="152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Revisão Analítica</w:t>
            </w:r>
          </w:p>
        </w:tc>
      </w:tr>
      <w:tr w:rsidR="00097818" w:rsidTr="00910850">
        <w:tc>
          <w:tcPr>
            <w:tcW w:w="591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color w:val="31849B"/>
                <w:sz w:val="28"/>
              </w:rPr>
              <w:t>5</w:t>
            </w:r>
          </w:p>
        </w:tc>
        <w:tc>
          <w:tcPr>
            <w:tcW w:w="811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Confirmação da adequação do mapa de antiguidade de saldos</w:t>
            </w:r>
          </w:p>
        </w:tc>
        <w:tc>
          <w:tcPr>
            <w:tcW w:w="152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097818" w:rsidTr="00910850">
        <w:tc>
          <w:tcPr>
            <w:tcW w:w="591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color w:val="31849B"/>
                <w:sz w:val="28"/>
              </w:rPr>
              <w:t>6</w:t>
            </w:r>
          </w:p>
        </w:tc>
        <w:tc>
          <w:tcPr>
            <w:tcW w:w="811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Validação das provisões constituídas com base no mapa de antiguidade de saldos</w:t>
            </w:r>
          </w:p>
        </w:tc>
        <w:tc>
          <w:tcPr>
            <w:tcW w:w="152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097818" w:rsidTr="00910850">
        <w:tc>
          <w:tcPr>
            <w:tcW w:w="591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color w:val="31849B"/>
                <w:sz w:val="28"/>
              </w:rPr>
              <w:t>7</w:t>
            </w:r>
          </w:p>
        </w:tc>
        <w:tc>
          <w:tcPr>
            <w:tcW w:w="811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Procedimentos alternativos (ver extractos subsequentes) para verificar se saldos provisionados foram pagos no início do exercício seguinte</w:t>
            </w:r>
          </w:p>
        </w:tc>
        <w:tc>
          <w:tcPr>
            <w:tcW w:w="152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097818" w:rsidTr="00910850">
        <w:tc>
          <w:tcPr>
            <w:tcW w:w="591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color w:val="31849B"/>
                <w:sz w:val="28"/>
              </w:rPr>
              <w:t>8</w:t>
            </w:r>
          </w:p>
        </w:tc>
        <w:tc>
          <w:tcPr>
            <w:tcW w:w="811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Revisão das respostas obtidas de circularizações efectuadas e eventuais respostas de advogados quanto a saldos activos sobre os quais foi movida acção judicial</w:t>
            </w:r>
          </w:p>
        </w:tc>
        <w:tc>
          <w:tcPr>
            <w:tcW w:w="152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097818" w:rsidTr="00910850">
        <w:tc>
          <w:tcPr>
            <w:tcW w:w="591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097818">
              <w:rPr>
                <w:rFonts w:ascii="Agency FB" w:eastAsia="Calibri" w:hAnsi="Agency FB" w:cs="Times New Roman"/>
                <w:color w:val="31849B"/>
                <w:sz w:val="28"/>
              </w:rPr>
              <w:t>9</w:t>
            </w:r>
          </w:p>
        </w:tc>
        <w:tc>
          <w:tcPr>
            <w:tcW w:w="811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Verificação de outros saldos activos eventualmente não incluídos nos mapas de antiguidade de saldos</w:t>
            </w:r>
          </w:p>
        </w:tc>
        <w:tc>
          <w:tcPr>
            <w:tcW w:w="1522" w:type="dxa"/>
            <w:vAlign w:val="center"/>
          </w:tcPr>
          <w:p w:rsidR="00097818" w:rsidRPr="00097818" w:rsidRDefault="00097818" w:rsidP="00AC3CB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097818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</w:tbl>
    <w:p w:rsidR="00097818" w:rsidRDefault="00097818" w:rsidP="00097818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24"/>
          <w:szCs w:val="24"/>
        </w:rPr>
      </w:pPr>
    </w:p>
    <w:p w:rsidR="00AC3CB5" w:rsidRPr="00AC3CB5" w:rsidRDefault="00AC3CB5" w:rsidP="00AC3CB5">
      <w:pPr>
        <w:spacing w:after="0" w:line="240" w:lineRule="auto"/>
        <w:jc w:val="both"/>
        <w:rPr>
          <w:rFonts w:ascii="Agency FB" w:eastAsia="Calibri" w:hAnsi="Agency FB" w:cs="Times New Roman"/>
          <w:b/>
          <w:color w:val="31849B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>
        <w:rPr>
          <w:rFonts w:ascii="Agency FB" w:eastAsia="Calibri" w:hAnsi="Agency FB" w:cs="Times New Roman"/>
          <w:b/>
          <w:color w:val="31849B"/>
          <w:sz w:val="32"/>
        </w:rPr>
        <w:t>Capitais Próprios</w:t>
      </w:r>
    </w:p>
    <w:tbl>
      <w:tblPr>
        <w:tblW w:w="10225" w:type="dxa"/>
        <w:tblInd w:w="-78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8330"/>
        <w:gridCol w:w="1304"/>
      </w:tblGrid>
      <w:tr w:rsidR="00AC3CB5" w:rsidRP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b/>
                <w:color w:val="31849B"/>
                <w:sz w:val="28"/>
              </w:rPr>
              <w:t>N.º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b/>
                <w:color w:val="31849B"/>
                <w:sz w:val="28"/>
              </w:rPr>
              <w:t>Procedimento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b/>
                <w:color w:val="31849B"/>
                <w:sz w:val="28"/>
              </w:rPr>
              <w:t>Tipo</w:t>
            </w:r>
          </w:p>
        </w:tc>
      </w:tr>
      <w:tr w:rsid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color w:val="31849B"/>
                <w:sz w:val="28"/>
              </w:rPr>
              <w:t>1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Verificar movimentos ocorridos nas rubricas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RA</w:t>
            </w:r>
          </w:p>
        </w:tc>
      </w:tr>
      <w:tr w:rsid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color w:val="31849B"/>
                <w:sz w:val="28"/>
              </w:rPr>
              <w:t>2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Analisar forma de realização do capital e suportes documentais.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SUBS</w:t>
            </w:r>
          </w:p>
        </w:tc>
      </w:tr>
      <w:tr w:rsid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color w:val="31849B"/>
                <w:sz w:val="28"/>
              </w:rPr>
              <w:t>3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Circularizar a Conservatória Registo Comercial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SUBS</w:t>
            </w:r>
          </w:p>
        </w:tc>
      </w:tr>
      <w:tr w:rsid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color w:val="31849B"/>
                <w:sz w:val="28"/>
              </w:rPr>
              <w:t>4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Verificar a variação da rubrica Reservas de Reavaliação. Reavaliações livres / legais.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RA</w:t>
            </w:r>
          </w:p>
        </w:tc>
      </w:tr>
      <w:tr w:rsid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color w:val="31849B"/>
                <w:sz w:val="28"/>
              </w:rPr>
              <w:t>5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Verificar realização de reservas de reavaliação (uso ou alienação dos bens reavaliados)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RA</w:t>
            </w:r>
          </w:p>
        </w:tc>
      </w:tr>
      <w:tr w:rsid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color w:val="31849B"/>
                <w:sz w:val="28"/>
              </w:rPr>
              <w:t>6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Garantir que os movimentos ocorridos nas contas estão de acordo com a lei e estatutos.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CONFORM</w:t>
            </w:r>
          </w:p>
        </w:tc>
      </w:tr>
      <w:tr w:rsid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color w:val="31849B"/>
                <w:sz w:val="28"/>
              </w:rPr>
              <w:t>7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Verificar se reforço ou utilização da reserva legal está de acordo com CSC.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SUBS</w:t>
            </w:r>
          </w:p>
        </w:tc>
      </w:tr>
      <w:tr w:rsid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color w:val="31849B"/>
                <w:sz w:val="28"/>
              </w:rPr>
              <w:t>8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Analisar situações em que se justifique a criação de reservas indisponíveis (equivalência patrimonial no caso de lucros não distribuídos)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SUBS</w:t>
            </w:r>
          </w:p>
        </w:tc>
      </w:tr>
      <w:tr w:rsid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color w:val="31849B"/>
                <w:sz w:val="28"/>
              </w:rPr>
              <w:t>9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Rever actas do exercício, e posteriores à data de referência, no sentido de conhecer situações que possam influir na opinião sobre as demonstrações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SUBS</w:t>
            </w:r>
          </w:p>
        </w:tc>
      </w:tr>
      <w:tr w:rsidR="00AC3CB5" w:rsidTr="00910850">
        <w:tc>
          <w:tcPr>
            <w:tcW w:w="591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AC3CB5">
              <w:rPr>
                <w:rFonts w:ascii="Agency FB" w:eastAsia="Calibri" w:hAnsi="Agency FB" w:cs="Times New Roman"/>
                <w:color w:val="31849B"/>
                <w:sz w:val="28"/>
              </w:rPr>
              <w:t>10</w:t>
            </w:r>
          </w:p>
        </w:tc>
        <w:tc>
          <w:tcPr>
            <w:tcW w:w="8330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Verificar eventos subsequentes (perdas de capital, reduções, etc.)</w:t>
            </w:r>
          </w:p>
        </w:tc>
        <w:tc>
          <w:tcPr>
            <w:tcW w:w="1304" w:type="dxa"/>
            <w:vAlign w:val="center"/>
          </w:tcPr>
          <w:p w:rsidR="00AC3CB5" w:rsidRPr="00AC3CB5" w:rsidRDefault="00AC3CB5" w:rsidP="005638BC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AC3CB5">
              <w:rPr>
                <w:rFonts w:ascii="Times-Roman" w:eastAsia="Calibri" w:hAnsi="Times-Roman" w:cs="Times-Roman"/>
                <w:color w:val="31849B"/>
              </w:rPr>
              <w:t>SUBS</w:t>
            </w:r>
          </w:p>
        </w:tc>
      </w:tr>
    </w:tbl>
    <w:p w:rsidR="00AC3CB5" w:rsidRDefault="00AC3CB5" w:rsidP="00097818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24"/>
          <w:szCs w:val="24"/>
        </w:rPr>
      </w:pPr>
    </w:p>
    <w:p w:rsidR="00AC3CB5" w:rsidRDefault="00AC3CB5" w:rsidP="00097818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24"/>
          <w:szCs w:val="24"/>
        </w:rPr>
      </w:pPr>
    </w:p>
    <w:p w:rsidR="00B2298E" w:rsidRDefault="00B2298E" w:rsidP="00097818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24"/>
          <w:szCs w:val="24"/>
        </w:rPr>
      </w:pPr>
    </w:p>
    <w:p w:rsidR="00B2298E" w:rsidRPr="00AC3CB5" w:rsidRDefault="00B2298E" w:rsidP="00B2298E">
      <w:pPr>
        <w:spacing w:after="0" w:line="240" w:lineRule="auto"/>
        <w:jc w:val="both"/>
        <w:rPr>
          <w:rFonts w:ascii="Agency FB" w:eastAsia="Calibri" w:hAnsi="Agency FB" w:cs="Times New Roman"/>
          <w:b/>
          <w:color w:val="31849B"/>
          <w:sz w:val="32"/>
        </w:rPr>
      </w:pPr>
      <w:r w:rsidRPr="006A5890">
        <w:rPr>
          <w:rFonts w:ascii="Agency FB" w:hAnsi="Agency FB"/>
          <w:color w:val="31849B" w:themeColor="accent5" w:themeShade="BF"/>
          <w:sz w:val="32"/>
        </w:rPr>
        <w:t xml:space="preserve">Testes para a área de: </w:t>
      </w:r>
      <w:r>
        <w:rPr>
          <w:rFonts w:ascii="Agency FB" w:eastAsia="Calibri" w:hAnsi="Agency FB" w:cs="Times New Roman"/>
          <w:b/>
          <w:color w:val="31849B"/>
          <w:sz w:val="32"/>
        </w:rPr>
        <w:t>Custos com Pessoal</w:t>
      </w:r>
    </w:p>
    <w:tbl>
      <w:tblPr>
        <w:tblW w:w="10225" w:type="dxa"/>
        <w:tblInd w:w="-781" w:type="dxa"/>
        <w:tblBorders>
          <w:top w:val="single" w:sz="4" w:space="0" w:color="31849B" w:themeColor="accent5" w:themeShade="BF"/>
          <w:left w:val="single" w:sz="4" w:space="0" w:color="31849B" w:themeColor="accent5" w:themeShade="BF"/>
          <w:bottom w:val="single" w:sz="4" w:space="0" w:color="31849B" w:themeColor="accent5" w:themeShade="BF"/>
          <w:right w:val="single" w:sz="4" w:space="0" w:color="31849B" w:themeColor="accent5" w:themeShade="BF"/>
          <w:insideH w:val="single" w:sz="4" w:space="0" w:color="31849B" w:themeColor="accent5" w:themeShade="BF"/>
          <w:insideV w:val="single" w:sz="4" w:space="0" w:color="31849B" w:themeColor="accent5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1"/>
        <w:gridCol w:w="7872"/>
        <w:gridCol w:w="1762"/>
      </w:tblGrid>
      <w:tr w:rsidR="00B2298E" w:rsidRP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b/>
                <w:color w:val="31849B"/>
                <w:sz w:val="28"/>
              </w:rPr>
              <w:t>N.º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b/>
                <w:color w:val="31849B"/>
                <w:sz w:val="28"/>
              </w:rPr>
              <w:t>Procedimento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Agency FB" w:eastAsia="Calibri" w:hAnsi="Agency FB" w:cs="Times New Roman"/>
                <w:b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b/>
                <w:color w:val="31849B"/>
                <w:sz w:val="28"/>
              </w:rPr>
              <w:t>Tipo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>
              <w:rPr>
                <w:rFonts w:ascii="Agency FB" w:eastAsia="Calibri" w:hAnsi="Agency FB" w:cs="Times New Roman"/>
                <w:color w:val="31849B"/>
                <w:sz w:val="28"/>
              </w:rPr>
              <w:t>1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Verificar que a empresa cumpre adequadamente com as disposições legais aplicáveis ao nível laboral (horários, contratos de trabalho, higiene, segurança e saúde no trabalho, seguros obrigatórios, afixação mapas obrigatórios, ...)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>
              <w:rPr>
                <w:rFonts w:ascii="Times-Roman" w:eastAsia="Calibri" w:hAnsi="Times-Roman" w:cs="Times-Roman"/>
                <w:color w:val="31849B"/>
              </w:rPr>
              <w:t>Conformidade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2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Levantar esquema de funcionamento da secção de pessoal.</w:t>
            </w:r>
          </w:p>
          <w:p w:rsidR="00B2298E" w:rsidRPr="00B2298E" w:rsidRDefault="00B2298E" w:rsidP="0070772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Segregação de funções na admissão</w:t>
            </w:r>
          </w:p>
          <w:p w:rsidR="00B2298E" w:rsidRPr="00B2298E" w:rsidRDefault="00B2298E" w:rsidP="0070772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Controlo de ponto independente do processamento</w:t>
            </w:r>
          </w:p>
          <w:p w:rsidR="00B2298E" w:rsidRPr="00B2298E" w:rsidRDefault="00B2298E" w:rsidP="0070772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Processamento revisto por terceiro e autorizado</w:t>
            </w:r>
          </w:p>
          <w:p w:rsidR="00B2298E" w:rsidRPr="00B2298E" w:rsidRDefault="00B2298E" w:rsidP="0070772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Forma de pagamento de salários (cheques, transferências, dinheiro?)</w:t>
            </w:r>
          </w:p>
          <w:p w:rsidR="00B2298E" w:rsidRPr="00B2298E" w:rsidRDefault="00B2298E" w:rsidP="0070772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Avaliação da performance na base de atribuição de prémios?</w:t>
            </w:r>
          </w:p>
          <w:p w:rsidR="00B2298E" w:rsidRPr="00B2298E" w:rsidRDefault="00B2298E" w:rsidP="0070772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...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>
              <w:rPr>
                <w:rFonts w:ascii="Times-Roman" w:eastAsia="Calibri" w:hAnsi="Times-Roman" w:cs="Times-Roman"/>
                <w:color w:val="31849B"/>
              </w:rPr>
              <w:t>Conformidade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3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Analisar quadro de pessoal no final do ano. Rever admissões saídas, por mútuo acordo ou promovido por entidade patronal. Verificar a necessidade de provisionar acordos de rescisão ainda não pagos.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Revisão Analítica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4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Circularização de advogados para apuramento de litígios.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5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Verificar cobertura por seguros de acidentes de trabalho (circularizar seguradoras).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“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6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Rever acidentes de trabalho, comunicações obrigatórias e necessidade de provisionamento.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“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7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Analisar conformidade dos recibos de ordenado com salários contratados ou decorrentes da convenção aplicável.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“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8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Para as admissões, assegurar se foram feitas as comunicações à Segurança Social no período adequado.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>
              <w:rPr>
                <w:rFonts w:ascii="Times-Roman" w:eastAsia="Calibri" w:hAnsi="Times-Roman" w:cs="Times-Roman"/>
                <w:color w:val="31849B"/>
              </w:rPr>
              <w:t>Conformidade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9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Analisar variações dos saldos ao longo do ano e com período homólogo do ano anterior.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Revis. Analítica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10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Estimar o volume anual de custos salariais com base nos salários médios de cada categoria.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“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11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No caso de existir controlo de ponto, verificar outputs do relógios de ponto e confrontar com o respectivo processamento de salários.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>
              <w:rPr>
                <w:rFonts w:ascii="Times-Roman" w:eastAsia="Calibri" w:hAnsi="Times-Roman" w:cs="Times-Roman"/>
                <w:color w:val="31849B"/>
              </w:rPr>
              <w:t>Conformidade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12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Para uma amostra de x empregados antigos, e todos os empregados contratados durante o ano, verificar o processamento de salários (taxa de IRS, SS, remunerações variáveis, subsídios, ...)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13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Confrontar mapas enviados à segurança social com os salários processados.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Substantivo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14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Relativamente a 2 meses, confrontar folha de processamento de salários com registos contabilísticos.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“</w:t>
            </w:r>
          </w:p>
        </w:tc>
      </w:tr>
      <w:tr w:rsidR="00B2298E" w:rsidTr="00910850">
        <w:tc>
          <w:tcPr>
            <w:tcW w:w="591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jc w:val="center"/>
              <w:rPr>
                <w:rFonts w:ascii="Agency FB" w:eastAsia="Calibri" w:hAnsi="Agency FB" w:cs="Times New Roman"/>
                <w:color w:val="31849B"/>
                <w:sz w:val="28"/>
              </w:rPr>
            </w:pPr>
            <w:r w:rsidRPr="00B2298E">
              <w:rPr>
                <w:rFonts w:ascii="Agency FB" w:eastAsia="Calibri" w:hAnsi="Agency FB" w:cs="Times New Roman"/>
                <w:color w:val="31849B"/>
                <w:sz w:val="28"/>
              </w:rPr>
              <w:t>15</w:t>
            </w:r>
          </w:p>
        </w:tc>
        <w:tc>
          <w:tcPr>
            <w:tcW w:w="787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Validar bases de cálculo para o valor dos salários e ordenados relativos a férias e subsídio de férias respeitantes ao exercício mas a pagar no próximo exercício (acréscimos e diferimentos).</w:t>
            </w:r>
          </w:p>
        </w:tc>
        <w:tc>
          <w:tcPr>
            <w:tcW w:w="1762" w:type="dxa"/>
            <w:vAlign w:val="center"/>
          </w:tcPr>
          <w:p w:rsidR="00B2298E" w:rsidRPr="00B2298E" w:rsidRDefault="00B2298E" w:rsidP="00707725">
            <w:pPr>
              <w:spacing w:after="0" w:line="240" w:lineRule="auto"/>
              <w:rPr>
                <w:rFonts w:ascii="Times-Roman" w:eastAsia="Calibri" w:hAnsi="Times-Roman" w:cs="Times-Roman"/>
                <w:color w:val="31849B"/>
              </w:rPr>
            </w:pPr>
            <w:r w:rsidRPr="00B2298E">
              <w:rPr>
                <w:rFonts w:ascii="Times-Roman" w:eastAsia="Calibri" w:hAnsi="Times-Roman" w:cs="Times-Roman"/>
                <w:color w:val="31849B"/>
              </w:rPr>
              <w:t>“</w:t>
            </w:r>
          </w:p>
        </w:tc>
      </w:tr>
    </w:tbl>
    <w:p w:rsidR="00B2298E" w:rsidRDefault="00B2298E" w:rsidP="00097818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24"/>
          <w:szCs w:val="24"/>
        </w:rPr>
      </w:pPr>
    </w:p>
    <w:p w:rsidR="00B2298E" w:rsidRPr="00097818" w:rsidRDefault="00B2298E" w:rsidP="00097818">
      <w:pPr>
        <w:spacing w:after="0" w:line="240" w:lineRule="auto"/>
        <w:jc w:val="both"/>
        <w:rPr>
          <w:rFonts w:ascii="Agency FB" w:hAnsi="Agency FB"/>
          <w:b/>
          <w:color w:val="31849B" w:themeColor="accent5" w:themeShade="BF"/>
          <w:sz w:val="24"/>
          <w:szCs w:val="24"/>
        </w:rPr>
      </w:pPr>
    </w:p>
    <w:sectPr w:rsidR="00B2298E" w:rsidRPr="00097818" w:rsidSect="009804B0">
      <w:pgSz w:w="11906" w:h="16838"/>
      <w:pgMar w:top="142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542D8"/>
    <w:multiLevelType w:val="hybridMultilevel"/>
    <w:tmpl w:val="2806F854"/>
    <w:lvl w:ilvl="0" w:tplc="9782F43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DBA"/>
    <w:rsid w:val="00097818"/>
    <w:rsid w:val="001B6424"/>
    <w:rsid w:val="001D5E19"/>
    <w:rsid w:val="00245A7D"/>
    <w:rsid w:val="004B4649"/>
    <w:rsid w:val="005638BC"/>
    <w:rsid w:val="00596687"/>
    <w:rsid w:val="005C3E91"/>
    <w:rsid w:val="00696A51"/>
    <w:rsid w:val="006A5890"/>
    <w:rsid w:val="006B23B8"/>
    <w:rsid w:val="006D4C04"/>
    <w:rsid w:val="00707725"/>
    <w:rsid w:val="00731DB6"/>
    <w:rsid w:val="00753DBA"/>
    <w:rsid w:val="007F12BB"/>
    <w:rsid w:val="0082100B"/>
    <w:rsid w:val="00837517"/>
    <w:rsid w:val="008F0A14"/>
    <w:rsid w:val="00910850"/>
    <w:rsid w:val="0095707F"/>
    <w:rsid w:val="00966A10"/>
    <w:rsid w:val="009804B0"/>
    <w:rsid w:val="00990AC2"/>
    <w:rsid w:val="00A83E38"/>
    <w:rsid w:val="00AC3CB5"/>
    <w:rsid w:val="00B2298E"/>
    <w:rsid w:val="00B4551A"/>
    <w:rsid w:val="00B713BE"/>
    <w:rsid w:val="00B74BEC"/>
    <w:rsid w:val="00BA7C72"/>
    <w:rsid w:val="00F4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1996</Words>
  <Characters>11383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Celia Ferreira</cp:lastModifiedBy>
  <cp:revision>2</cp:revision>
  <dcterms:created xsi:type="dcterms:W3CDTF">2012-05-14T09:16:00Z</dcterms:created>
  <dcterms:modified xsi:type="dcterms:W3CDTF">2012-05-14T09:16:00Z</dcterms:modified>
</cp:coreProperties>
</file>