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7DC" w:rsidRPr="001377DC" w:rsidRDefault="001377DC" w:rsidP="001377DC">
      <w:pPr>
        <w:pBdr>
          <w:bottom w:val="single" w:sz="6" w:space="2" w:color="D2D2D2"/>
        </w:pBdr>
        <w:shd w:val="clear" w:color="auto" w:fill="FFFFFF"/>
        <w:spacing w:after="225" w:line="240" w:lineRule="auto"/>
        <w:outlineLvl w:val="1"/>
        <w:rPr>
          <w:rFonts w:ascii="Tahoma" w:eastAsia="Times New Roman" w:hAnsi="Tahoma" w:cs="Tahoma"/>
          <w:b/>
          <w:bCs/>
          <w:color w:val="606060"/>
          <w:sz w:val="18"/>
          <w:szCs w:val="18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606060"/>
          <w:sz w:val="18"/>
          <w:szCs w:val="18"/>
          <w:lang w:eastAsia="pt-PT"/>
        </w:rPr>
        <w:t>Lucros de ACE no Participante e Tributação</w:t>
      </w:r>
    </w:p>
    <w:p w:rsidR="001377DC" w:rsidRPr="001377DC" w:rsidRDefault="001377DC" w:rsidP="001377DC">
      <w:pPr>
        <w:shd w:val="clear" w:color="auto" w:fill="FFFFFF"/>
        <w:spacing w:after="150" w:line="240" w:lineRule="atLeast"/>
        <w:outlineLvl w:val="3"/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  <w:t>Contabilização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legislação aplicável aos agrupamentos complementares de empresas (</w:t>
      </w:r>
      <w:proofErr w:type="spellStart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ACE’s</w:t>
      </w:r>
      <w:proofErr w:type="spellEnd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) é:</w:t>
      </w:r>
    </w:p>
    <w:p w:rsidR="001377DC" w:rsidRPr="001377DC" w:rsidRDefault="001377DC" w:rsidP="001377DC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Lei n.º 4/73, de 4 de Junho;</w:t>
      </w:r>
    </w:p>
    <w:p w:rsidR="001377DC" w:rsidRPr="001377DC" w:rsidRDefault="001377DC" w:rsidP="001377DC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Decreto-Lei n.º 430/73, de 25 de Agosto;</w:t>
      </w:r>
    </w:p>
    <w:p w:rsidR="001377DC" w:rsidRPr="001377DC" w:rsidRDefault="001377DC" w:rsidP="001377DC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Decreto-Lei n.º 36/2000, de 14 de Março.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 xml:space="preserve">Os </w:t>
      </w:r>
      <w:proofErr w:type="spellStart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ACE’s</w:t>
      </w:r>
      <w:proofErr w:type="spellEnd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 xml:space="preserve"> não podem ter como actividade principal a realização e partilha de lucros (apenas como actividade acessória e quando autorizado pelo contrato de constituição) e podem constituir-se com ou sem capital social ou legal.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Os empreendedores respondem solidariamente pelas dívidas do ACE, salvo cláusula em contrário do contrato celebrado por este com um credor determinado.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Os credores do agrupamento não podem exigir das empresas participantes o pagamento dos seus créditos sem prévia exclusão dos bens do próprio agrupamento.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 contrato do ACE poderá ser reduzido a escritura pública (ou revestir a forma de documento particular se o agrupamento complementar for constituído sem capital próprio, ou o sendo, se não forem efectuadas entradas em bens diferentes de dinheiro para cuja transmissão seja necessária escritura pública) no qual constará:</w:t>
      </w:r>
    </w:p>
    <w:p w:rsidR="001377DC" w:rsidRPr="001377DC" w:rsidRDefault="001377DC" w:rsidP="001377DC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firma;</w:t>
      </w:r>
    </w:p>
    <w:p w:rsidR="001377DC" w:rsidRPr="001377DC" w:rsidRDefault="001377DC" w:rsidP="001377DC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 objecto social;</w:t>
      </w:r>
    </w:p>
    <w:p w:rsidR="001377DC" w:rsidRPr="001377DC" w:rsidRDefault="001377DC" w:rsidP="001377DC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sede e duração, quando limitada;</w:t>
      </w:r>
    </w:p>
    <w:p w:rsidR="001377DC" w:rsidRPr="001377DC" w:rsidRDefault="001377DC" w:rsidP="001377DC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As contribuições dos empreendedores para os encargos e o capital, se houver;</w:t>
      </w:r>
    </w:p>
    <w:p w:rsidR="001377DC" w:rsidRPr="001377DC" w:rsidRDefault="001377DC" w:rsidP="001377DC">
      <w:pPr>
        <w:numPr>
          <w:ilvl w:val="0"/>
          <w:numId w:val="2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Pode também regular os direitos e as obrigações dos participantes, a administração, a fiscalização, a prorrogação, a dissolução e a liquidação e partilha do agrupamento e ainda os poderes, os deveres, a remuneração e a destituição dos administradores, bem como a entrada e saída de elementos do agrupamento, cumpridas as suas obrigações sociais.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 agrupamento adquire personalidade jurídica com a inscrição da sua constituição no registo comercial.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Não é obrigatório a fiscalização da gestão do ACE por um Revisor Oficial de Contas (ROC), a não ser que este emita obrigações.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Não havendo disposição no contrato sobre a fiscalização, a assembleia-geral poderá designar, pelo período máximo de três anos, renovável, uma ou mais pessoas para fiscalizar a gestão e dar parecer sobre as contas.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 contrato de sociedade do agrupamento fica sujeito às publicações exigidas para as sociedades reguladas pelo Código das Sociedades Comerciais (CSC).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As alterações ao pacto social só poderão ser efectuadas por maioria de três quartos do número de participantes no agrupamento.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capacidade do agrupamento não compreende:</w:t>
      </w:r>
    </w:p>
    <w:p w:rsidR="001377DC" w:rsidRPr="001377DC" w:rsidRDefault="001377DC" w:rsidP="001377DC">
      <w:pPr>
        <w:numPr>
          <w:ilvl w:val="0"/>
          <w:numId w:val="3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aquisição do direito de propriedade ou de outros direitos reais sobre coisas imóveis, salvo se o imóvel se destinar a instalação da sua sede, delegação ou serviço próprio;</w:t>
      </w:r>
    </w:p>
    <w:p w:rsidR="001377DC" w:rsidRPr="001377DC" w:rsidRDefault="001377DC" w:rsidP="001377DC">
      <w:pPr>
        <w:numPr>
          <w:ilvl w:val="0"/>
          <w:numId w:val="3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participação em sociedades civis ou comerciais ou ainda em outros ACE;</w:t>
      </w:r>
    </w:p>
    <w:p w:rsidR="001377DC" w:rsidRPr="001377DC" w:rsidRDefault="001377DC" w:rsidP="001377DC">
      <w:pPr>
        <w:numPr>
          <w:ilvl w:val="0"/>
          <w:numId w:val="3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 exercício de cargos sociais em quaisquer sociedades, associações ou ACE.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administração sendo exercida por uma ou mais pessoas, em conformidade com o definido no contrato social, deverá prestar anualmente contas.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Os ACE não podem transformar-se nos tipos de sociedades previstos no CSC.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bookmarkStart w:id="0" w:name="_GoBack"/>
      <w:bookmarkEnd w:id="0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Um ACE é um exemplo de entidades conjuntamente controladas, dentro dos empreendimentos conjuntos. Veja-se que de acordo com a NCRF 13 – Interesses em Empreendimentos Conjuntos e Investimentos em Associadas, os empreendimentos conjuntos podem ser:</w:t>
      </w:r>
    </w:p>
    <w:p w:rsidR="001377DC" w:rsidRPr="001377DC" w:rsidRDefault="001377DC" w:rsidP="001377DC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lastRenderedPageBreak/>
        <w:t>Operações conjuntamente controladas;</w:t>
      </w:r>
    </w:p>
    <w:p w:rsidR="001377DC" w:rsidRPr="001377DC" w:rsidRDefault="001377DC" w:rsidP="001377DC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Activos conjuntamente controlados;</w:t>
      </w:r>
    </w:p>
    <w:p w:rsidR="001377DC" w:rsidRPr="001377DC" w:rsidRDefault="001377DC" w:rsidP="001377DC">
      <w:pPr>
        <w:numPr>
          <w:ilvl w:val="0"/>
          <w:numId w:val="4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Entidades conjuntamente controladas.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entidade conjuntamente controlada mantém os seus próprios registos contabilísticos, prepara e apresenta demonstrações financeiras como qualquer outra empresa, de acordo com o SNC.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Na contabilidade do participante, pelas contribuições efectuadas o empreendedor reconhece as entregas como um investimento financeiro não corrente na rubrica 413 – Investimentos Financeiros – Investimentos em Entidades Conjuntamente Controladas.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Na contabilidade do empreendedor, usa-se ou o método do custo ou o método da equivalência patrimonial, no caso de se exercer uma influência significativa.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Pelo método da equivalência patrimonial, os lucros do ACE são reconhecidos imediatamente na base do interesse como um rendimento financeiro (conta 7851 – Outros Rendimentos e Ganhos – Rendimentos e Ganhos em Subsidiárias, Associadas e Empreendimentos Conjuntos).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Pelos prejuízos, o reconhecimento da perda na base do interesse será efectuado até à concorrência do saldo da conta 413 – Investimentos Financeiros – Investimentos em Entidades Conjuntamente Controladas.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Pelo método do custo, os lucros são apenas reconhecidos quando o empreendedor estabelece o direito aos mesmos, quando são distribuídos.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 xml:space="preserve">Os </w:t>
      </w:r>
      <w:proofErr w:type="spellStart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ACE’s</w:t>
      </w:r>
      <w:proofErr w:type="spellEnd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 xml:space="preserve"> só são tributados pelas tributações autónomas, porque os lucros tributáveis (prejuízos fiscais) são imputados na íntegra aos participantes (artigo 6.º do Código do IRC).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imputação referida é efectuada aos membros nos termos do contrato de sociedade ou, na falta de elementos, em partes iguais.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Aos participantes em ACE’S é imputado a matéria colectável do ACE, bem como, das seguintes deduções:</w:t>
      </w:r>
    </w:p>
    <w:p w:rsidR="001377DC" w:rsidRPr="001377DC" w:rsidRDefault="001377DC" w:rsidP="001377DC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relativa à dupla tributação económica dos lucros distribuídos;</w:t>
      </w:r>
    </w:p>
    <w:p w:rsidR="001377DC" w:rsidRPr="001377DC" w:rsidRDefault="001377DC" w:rsidP="001377DC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relativa a benefícios fiscais;</w:t>
      </w:r>
    </w:p>
    <w:p w:rsidR="001377DC" w:rsidRPr="001377DC" w:rsidRDefault="001377DC" w:rsidP="001377DC">
      <w:pPr>
        <w:numPr>
          <w:ilvl w:val="0"/>
          <w:numId w:val="5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 relativa a retenções na fonte não susceptíveis de compensação ou reembolso nos termos da legislação aplicável.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333333"/>
          <w:sz w:val="17"/>
          <w:szCs w:val="17"/>
          <w:lang w:eastAsia="pt-PT"/>
        </w:rPr>
        <w:t>Escrituração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Método da equivalência patrimonial – Lucros: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4338"/>
        <w:gridCol w:w="478"/>
        <w:gridCol w:w="525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Investimentos financeiros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4131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Investimentos em entidades conjuntamente controladas – MEP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x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Outros rendimentos e ganhos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7851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Aplicação do MEP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x</w:t>
            </w:r>
            <w:proofErr w:type="gramEnd"/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Lucro tributável – Independente do método: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2119"/>
        <w:gridCol w:w="478"/>
        <w:gridCol w:w="525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Resultado líquido do período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estimado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x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lastRenderedPageBreak/>
              <w:t>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Estado e outros entes públicos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sobre o rendimento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x</w:t>
            </w:r>
            <w:proofErr w:type="gramEnd"/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Impostos diferidos – Método do custo: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2307"/>
        <w:gridCol w:w="478"/>
        <w:gridCol w:w="525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Outras contas</w:t>
            </w:r>
            <w:proofErr w:type="gramEnd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 xml:space="preserve"> a receber e a pagar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2741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Activos por impostos diferidos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x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Resultado Líquido do Período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diferido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x</w:t>
            </w:r>
            <w:proofErr w:type="gramEnd"/>
          </w:p>
        </w:tc>
      </w:tr>
    </w:tbl>
    <w:p w:rsidR="001377DC" w:rsidRPr="001377DC" w:rsidRDefault="001377DC" w:rsidP="001377DC">
      <w:pPr>
        <w:shd w:val="clear" w:color="auto" w:fill="FFFFFF"/>
        <w:spacing w:after="150" w:line="240" w:lineRule="atLeast"/>
        <w:outlineLvl w:val="3"/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  <w:t>Exemplos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1. A empresa A, S. A., constitui, em X0, juntamente com outros participantes um ACE com um capital de 200 000 e uma participação de 20 % cada.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2. Do período X0, sabe-se que o ACE teve um lucro contabilístico (antes de impostos) de 20 000.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3. O lucro tributável do ACE de X0 é de 22 000 e a diferença entre o lucro antes de impostos e o lucro tributável deve-se a custos que não são dedutíveis no período e que nunca serão (diferenças permanentes ou definitivas)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4. O lucro contabilístico da empresa A, S.A., é de 100 000 (antes de qualquer imputação do lucro do ACE) e a taxa de imposto de 25 %.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5. Se a empresa A, S.A., usa o método do custo não reconhece, no período X0, o seu interesse nos lucros do ACE.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6. No quadro seguinte, apresenta-se a determinação do lucro tributável: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"/>
        <w:gridCol w:w="2857"/>
        <w:gridCol w:w="613"/>
      </w:tblGrid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Lucro antes de impostos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100 000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A acrescer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Lucro tributável do ACE (0,20 × 22 000)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4400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Lucro tributável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104 400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Taxa de imposto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25 %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Colecta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26 100</w:t>
            </w:r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7. O lançamento pelos impostos correntes é o que se apresenta: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2242"/>
        <w:gridCol w:w="528"/>
        <w:gridCol w:w="528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sobre o rendimento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lastRenderedPageBreak/>
              <w:t>8121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estimado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26 100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Estado e outros entes públicos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sobre o rendimento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26 100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i/>
                <w:iCs/>
                <w:color w:val="333333"/>
                <w:sz w:val="17"/>
                <w:szCs w:val="17"/>
                <w:lang w:eastAsia="pt-PT"/>
              </w:rPr>
              <w:t>Imposto corrente do período X0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8. Em X0, há uma diferença entre a contabilidade e a fiscalidade (diferença temporária dedutível), visto a empresa ter considerado no lucro tributável a quantia de 4 400 e na contabilidade não ter reconhecido qualquer interesse no lucro do ACE.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 xml:space="preserve">A diferença temporária dedutível dá origem a um activo por imposto diferido </w:t>
      </w:r>
      <w:proofErr w:type="gramStart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de</w:t>
      </w:r>
      <w:proofErr w:type="gramEnd"/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 xml:space="preserve"> (0,25 × 4400). O lançamento é: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3002"/>
        <w:gridCol w:w="478"/>
        <w:gridCol w:w="525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proofErr w:type="gramStart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Outras contas</w:t>
            </w:r>
            <w:proofErr w:type="gramEnd"/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 xml:space="preserve"> a receber e a pagar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2741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Activos por impostos diferidos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1100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sobre o rendimento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diferido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1100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i/>
                <w:iCs/>
                <w:color w:val="333333"/>
                <w:sz w:val="17"/>
                <w:szCs w:val="17"/>
                <w:lang w:eastAsia="pt-PT"/>
              </w:rPr>
              <w:t>Activo por impostos diferidos a reconhecer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9. Se a empresa A, S. A., usa o método da equivalência patrimonial, reconhece, no período X0, o seu interesse no lucro contabilístico do ACE e o lançamento é: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4272"/>
        <w:gridCol w:w="478"/>
        <w:gridCol w:w="525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Investimentos financeiros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4131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Investimento em entidades conjuntamente controladas – MEP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Outros rendimentos e ganhos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7851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Rendimentos em empreendimentos conjuntos – MEP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4000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i/>
                <w:iCs/>
                <w:color w:val="333333"/>
                <w:sz w:val="17"/>
                <w:szCs w:val="17"/>
                <w:lang w:eastAsia="pt-PT"/>
              </w:rPr>
              <w:t>Interesse no resultado do ACE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10. No quadro seguinte, apresenta-se a determinação do lucro tributável: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"/>
        <w:gridCol w:w="2067"/>
        <w:gridCol w:w="613"/>
      </w:tblGrid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Lucro antes de impostos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104 000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A acrescer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Lucro tributável do ACE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4400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A deduzir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lastRenderedPageBreak/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Ganho contabilístico do ACE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4000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Lucro tributável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104 400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Taxa de imposto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25 %</w:t>
            </w:r>
          </w:p>
        </w:tc>
      </w:tr>
      <w:tr w:rsidR="001377DC" w:rsidRPr="001377DC" w:rsidTr="001377DC">
        <w:tc>
          <w:tcPr>
            <w:tcW w:w="0" w:type="auto"/>
            <w:gridSpan w:val="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Colecta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26 100</w:t>
            </w:r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11. O lançamento pelos impostos correntes é o que se apresenta: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"/>
        <w:gridCol w:w="2119"/>
        <w:gridCol w:w="528"/>
        <w:gridCol w:w="528"/>
      </w:tblGrid>
      <w:tr w:rsidR="001377DC" w:rsidRPr="001377DC" w:rsidTr="001377DC">
        <w:trPr>
          <w:tblHeader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Conta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Descrição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Débito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6666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77DC" w:rsidRPr="001377DC" w:rsidRDefault="001377DC" w:rsidP="001377DC">
            <w:pPr>
              <w:spacing w:after="270" w:line="210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pt-PT"/>
              </w:rPr>
              <w:t>Crédito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sobre o rendimento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8121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estimado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26 100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Estado e outros entes públicos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</w:tr>
      <w:tr w:rsidR="001377DC" w:rsidRPr="001377DC" w:rsidTr="001377DC"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Imposto sobre o rendimento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1377DC" w:rsidRPr="001377DC" w:rsidRDefault="001377DC" w:rsidP="001377DC">
            <w:pPr>
              <w:spacing w:after="270" w:line="21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</w:pPr>
            <w:r w:rsidRPr="001377DC">
              <w:rPr>
                <w:rFonts w:ascii="Times New Roman" w:eastAsia="Times New Roman" w:hAnsi="Times New Roman" w:cs="Times New Roman"/>
                <w:color w:val="333333"/>
                <w:sz w:val="17"/>
                <w:szCs w:val="17"/>
                <w:lang w:eastAsia="pt-PT"/>
              </w:rPr>
              <w:t>26 100</w:t>
            </w:r>
          </w:p>
        </w:tc>
      </w:tr>
    </w:tbl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12. Pelo método da equivalência patrimonial não se reconhece qualquer imposto diferido, se no ACE não houver diferenças de reconhecimento entre a contabilidade e a fiscalidade (diferenças temporárias), que é o caso deste exemplo, em que há diferenças entre a contabilidade e a fiscalidade mas são permanentes.</w:t>
      </w:r>
    </w:p>
    <w:p w:rsidR="001377DC" w:rsidRPr="001377DC" w:rsidRDefault="001377DC" w:rsidP="001377DC">
      <w:pPr>
        <w:shd w:val="clear" w:color="auto" w:fill="FFFFFF"/>
        <w:spacing w:after="150" w:line="240" w:lineRule="atLeast"/>
        <w:outlineLvl w:val="3"/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  <w:t>Normas Contabilísticas</w:t>
      </w:r>
    </w:p>
    <w:p w:rsidR="001377DC" w:rsidRPr="001377DC" w:rsidRDefault="001377DC" w:rsidP="001377DC">
      <w:pPr>
        <w:numPr>
          <w:ilvl w:val="0"/>
          <w:numId w:val="6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SNC.</w:t>
      </w:r>
    </w:p>
    <w:p w:rsidR="001377DC" w:rsidRPr="001377DC" w:rsidRDefault="001377DC" w:rsidP="001377DC">
      <w:pPr>
        <w:numPr>
          <w:ilvl w:val="0"/>
          <w:numId w:val="6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NCRF 13 – Interesses em Empreendimentos Conjuntos e Investimentos em Associadas.</w:t>
      </w:r>
    </w:p>
    <w:p w:rsidR="001377DC" w:rsidRPr="001377DC" w:rsidRDefault="001377DC" w:rsidP="001377DC">
      <w:pPr>
        <w:shd w:val="clear" w:color="auto" w:fill="FFFFFF"/>
        <w:spacing w:after="150" w:line="240" w:lineRule="atLeast"/>
        <w:outlineLvl w:val="3"/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  <w:t>Regras Fiscais</w:t>
      </w:r>
    </w:p>
    <w:p w:rsidR="001377DC" w:rsidRPr="001377DC" w:rsidRDefault="001377DC" w:rsidP="001377DC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Artigo 6.º, do Código do IRC.</w:t>
      </w:r>
    </w:p>
    <w:p w:rsidR="001377DC" w:rsidRPr="001377DC" w:rsidRDefault="001377DC" w:rsidP="001377DC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Artigo 12.º, do Código do IRC.</w:t>
      </w:r>
    </w:p>
    <w:p w:rsidR="001377DC" w:rsidRPr="001377DC" w:rsidRDefault="001377DC" w:rsidP="001377DC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Artigo 47.º, do Código do IRC.</w:t>
      </w:r>
    </w:p>
    <w:p w:rsidR="001377DC" w:rsidRPr="001377DC" w:rsidRDefault="001377DC" w:rsidP="001377DC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Artigo 81.º, do Código do IRC.</w:t>
      </w:r>
    </w:p>
    <w:p w:rsidR="001377DC" w:rsidRPr="001377DC" w:rsidRDefault="001377DC" w:rsidP="001377DC">
      <w:pPr>
        <w:numPr>
          <w:ilvl w:val="0"/>
          <w:numId w:val="7"/>
        </w:numPr>
        <w:shd w:val="clear" w:color="auto" w:fill="FFFFFF"/>
        <w:spacing w:after="0" w:line="210" w:lineRule="atLeast"/>
        <w:ind w:left="0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Artigo 83.º, do Código do IRC.</w:t>
      </w:r>
    </w:p>
    <w:p w:rsidR="001377DC" w:rsidRPr="001377DC" w:rsidRDefault="001377DC" w:rsidP="001377DC">
      <w:pPr>
        <w:shd w:val="clear" w:color="auto" w:fill="FFFFFF"/>
        <w:spacing w:after="150" w:line="240" w:lineRule="atLeast"/>
        <w:outlineLvl w:val="3"/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</w:pPr>
      <w:r w:rsidRPr="001377DC">
        <w:rPr>
          <w:rFonts w:ascii="Tahoma" w:eastAsia="Times New Roman" w:hAnsi="Tahoma" w:cs="Tahoma"/>
          <w:b/>
          <w:bCs/>
          <w:color w:val="666666"/>
          <w:sz w:val="21"/>
          <w:szCs w:val="21"/>
          <w:lang w:eastAsia="pt-PT"/>
        </w:rPr>
        <w:t>Erros a Evitar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Não usar quando a influência é significativo (direitos de voto iguais ou superiores a 20 %) o método da equivalência patrimonial no reconhecimento e mensuração do investimento financeiro no participante.</w:t>
      </w:r>
    </w:p>
    <w:p w:rsidR="001377DC" w:rsidRPr="001377DC" w:rsidRDefault="001377DC" w:rsidP="001377DC">
      <w:pPr>
        <w:shd w:val="clear" w:color="auto" w:fill="FFFFFF"/>
        <w:spacing w:after="270" w:line="210" w:lineRule="atLeast"/>
        <w:rPr>
          <w:rFonts w:ascii="Tahoma" w:eastAsia="Times New Roman" w:hAnsi="Tahoma" w:cs="Tahoma"/>
          <w:color w:val="333333"/>
          <w:sz w:val="17"/>
          <w:szCs w:val="17"/>
          <w:lang w:eastAsia="pt-PT"/>
        </w:rPr>
      </w:pPr>
      <w:r w:rsidRPr="001377DC">
        <w:rPr>
          <w:rFonts w:ascii="Tahoma" w:eastAsia="Times New Roman" w:hAnsi="Tahoma" w:cs="Tahoma"/>
          <w:color w:val="333333"/>
          <w:sz w:val="17"/>
          <w:szCs w:val="17"/>
          <w:lang w:eastAsia="pt-PT"/>
        </w:rPr>
        <w:t>O não reconhecimento de todos os impostos, correntes e diferidos pelo empreendedor.</w:t>
      </w:r>
    </w:p>
    <w:p w:rsidR="00C82F52" w:rsidRDefault="00C82F52"/>
    <w:sectPr w:rsidR="00C82F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25202"/>
    <w:multiLevelType w:val="multilevel"/>
    <w:tmpl w:val="CF4A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30CE2"/>
    <w:multiLevelType w:val="multilevel"/>
    <w:tmpl w:val="C0F29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DD7DCF"/>
    <w:multiLevelType w:val="multilevel"/>
    <w:tmpl w:val="664E5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B20678"/>
    <w:multiLevelType w:val="multilevel"/>
    <w:tmpl w:val="D6EA7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C82C8C"/>
    <w:multiLevelType w:val="multilevel"/>
    <w:tmpl w:val="448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4343FE"/>
    <w:multiLevelType w:val="multilevel"/>
    <w:tmpl w:val="524A6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F45D11"/>
    <w:multiLevelType w:val="multilevel"/>
    <w:tmpl w:val="3FDA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DC"/>
    <w:rsid w:val="001377DC"/>
    <w:rsid w:val="00C8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2">
    <w:name w:val="heading 2"/>
    <w:basedOn w:val="Normal"/>
    <w:link w:val="Cabealho2Carcter"/>
    <w:uiPriority w:val="9"/>
    <w:qFormat/>
    <w:rsid w:val="001377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Cabealho4">
    <w:name w:val="heading 4"/>
    <w:basedOn w:val="Normal"/>
    <w:link w:val="Cabealho4Carcter"/>
    <w:uiPriority w:val="9"/>
    <w:qFormat/>
    <w:rsid w:val="001377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1377DC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1377DC"/>
    <w:rPr>
      <w:rFonts w:ascii="Times New Roman" w:eastAsia="Times New Roman" w:hAnsi="Times New Roman" w:cs="Times New Roman"/>
      <w:b/>
      <w:bCs/>
      <w:sz w:val="24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137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2">
    <w:name w:val="heading 2"/>
    <w:basedOn w:val="Normal"/>
    <w:link w:val="Cabealho2Carcter"/>
    <w:uiPriority w:val="9"/>
    <w:qFormat/>
    <w:rsid w:val="001377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Cabealho4">
    <w:name w:val="heading 4"/>
    <w:basedOn w:val="Normal"/>
    <w:link w:val="Cabealho4Carcter"/>
    <w:uiPriority w:val="9"/>
    <w:qFormat/>
    <w:rsid w:val="001377D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uiPriority w:val="9"/>
    <w:rsid w:val="001377DC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1377DC"/>
    <w:rPr>
      <w:rFonts w:ascii="Times New Roman" w:eastAsia="Times New Roman" w:hAnsi="Times New Roman" w:cs="Times New Roman"/>
      <w:b/>
      <w:bCs/>
      <w:sz w:val="24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137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1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1465</Words>
  <Characters>7915</Characters>
  <Application>Microsoft Office Word</Application>
  <DocSecurity>0</DocSecurity>
  <Lines>65</Lines>
  <Paragraphs>18</Paragraphs>
  <ScaleCrop>false</ScaleCrop>
  <Company/>
  <LinksUpToDate>false</LinksUpToDate>
  <CharactersWithSpaces>9362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RODRIGUES</dc:creator>
  <cp:lastModifiedBy>RODRIGUES</cp:lastModifiedBy>
  <cp:revision>1</cp:revision>
  <dcterms:created xsi:type="dcterms:W3CDTF">2012-08-22T15:34:00Z</dcterms:created>
  <dcterms:modified xsi:type="dcterms:W3CDTF">2012-08-22T15:35:00Z</dcterms:modified>
</cp:coreProperties>
</file>