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A92F6" w14:textId="77777777" w:rsidR="0097756B" w:rsidRDefault="0097756B" w:rsidP="002D5A02">
      <w:pPr>
        <w:jc w:val="both"/>
        <w:rPr>
          <w:rFonts w:ascii="Times New Roman" w:hAnsi="Times New Roman" w:cs="Times New Roman"/>
          <w:sz w:val="28"/>
          <w:szCs w:val="28"/>
        </w:rPr>
      </w:pPr>
    </w:p>
    <w:p w14:paraId="6578DBC6" w14:textId="77777777" w:rsidR="0097756B" w:rsidRDefault="00DF59A5" w:rsidP="0097756B">
      <w:pPr>
        <w:ind w:left="4678"/>
        <w:jc w:val="both"/>
        <w:rPr>
          <w:rFonts w:ascii="Times New Roman" w:hAnsi="Times New Roman" w:cs="Times New Roman"/>
          <w:sz w:val="28"/>
          <w:szCs w:val="28"/>
        </w:rPr>
      </w:pPr>
      <w:r w:rsidRPr="00DF59A5">
        <w:rPr>
          <w:rFonts w:ascii="Times New Roman" w:hAnsi="Times New Roman" w:cs="Times New Roman"/>
          <w:sz w:val="28"/>
          <w:szCs w:val="28"/>
        </w:rPr>
        <w:t>Ex.mo Senhor</w:t>
      </w:r>
    </w:p>
    <w:p w14:paraId="7B85CEFA" w14:textId="68943775" w:rsidR="00DF59A5" w:rsidRPr="00DF59A5" w:rsidRDefault="00DF59A5" w:rsidP="0097756B">
      <w:pPr>
        <w:ind w:left="4678"/>
        <w:jc w:val="both"/>
        <w:rPr>
          <w:rFonts w:ascii="Times New Roman" w:hAnsi="Times New Roman" w:cs="Times New Roman"/>
          <w:sz w:val="28"/>
          <w:szCs w:val="28"/>
        </w:rPr>
      </w:pPr>
      <w:r w:rsidRPr="00DF59A5">
        <w:rPr>
          <w:rFonts w:ascii="Times New Roman" w:hAnsi="Times New Roman" w:cs="Times New Roman"/>
          <w:sz w:val="28"/>
          <w:szCs w:val="28"/>
        </w:rPr>
        <w:t>Diretor de Finanças</w:t>
      </w:r>
    </w:p>
    <w:p w14:paraId="576247DA" w14:textId="77777777" w:rsidR="00DF59A5" w:rsidRPr="00DF59A5" w:rsidRDefault="00DF59A5" w:rsidP="00DF59A5">
      <w:pPr>
        <w:jc w:val="both"/>
        <w:rPr>
          <w:rFonts w:ascii="Times New Roman" w:hAnsi="Times New Roman" w:cs="Times New Roman"/>
          <w:sz w:val="28"/>
          <w:szCs w:val="28"/>
        </w:rPr>
      </w:pPr>
    </w:p>
    <w:p w14:paraId="706B59EC"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 xml:space="preserve">(Nome), residente na [morada], contribuinte com o n.º fiscal […], tendo sido notificado de erros centrais na declaração de rendimentos modelo 3 do IRS do ano de 2012, discordando das razões invocadas, vem pelo presente, nos termos do disposto no artigo 68.º Do Código do Processo e do Procedimento (CPPT) apresentar </w:t>
      </w:r>
      <w:r w:rsidRPr="00DF59A5">
        <w:rPr>
          <w:rFonts w:ascii="Times New Roman" w:hAnsi="Times New Roman" w:cs="Times New Roman"/>
          <w:b/>
          <w:sz w:val="28"/>
          <w:szCs w:val="28"/>
        </w:rPr>
        <w:t>RECLAMAÇÃO GRACIOSA</w:t>
      </w:r>
      <w:r w:rsidRPr="00DF59A5">
        <w:rPr>
          <w:rFonts w:ascii="Times New Roman" w:hAnsi="Times New Roman" w:cs="Times New Roman"/>
          <w:sz w:val="28"/>
          <w:szCs w:val="28"/>
        </w:rPr>
        <w:t xml:space="preserve"> do seu enquadramento pelos serviços no Regime Simplificado de Tributação, invocando para o efeito, os seguintes fundamentos.</w:t>
      </w:r>
    </w:p>
    <w:p w14:paraId="6165A9DE"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1.º</w:t>
      </w:r>
    </w:p>
    <w:p w14:paraId="1432A2A9"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A(o) reclamante exerce a atividade de […].</w:t>
      </w:r>
    </w:p>
    <w:p w14:paraId="7596EE48"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2.º</w:t>
      </w:r>
    </w:p>
    <w:p w14:paraId="3A402589"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Iniciou a atividade no ano de […], tendo optado pelo regime de contabilidade organizada, reunindo, ao tempo, as correspondentes condições de enquadramento.</w:t>
      </w:r>
    </w:p>
    <w:p w14:paraId="49ECC978"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3.º</w:t>
      </w:r>
    </w:p>
    <w:p w14:paraId="1BF9CC20"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Nos termos do disposto no n.º 5 do artigo 28.º do CIRS, o enquadramento dos sujeitos passivos faz-se em qualquer dos regimes, por períodos mínimos de três anos.</w:t>
      </w:r>
    </w:p>
    <w:p w14:paraId="59189EB2"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4.º</w:t>
      </w:r>
    </w:p>
    <w:p w14:paraId="208CFFE9"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E, no que concerne ao regime da contabilidade, da leitura que fazemos daquela disposição, só dele sai aquando de uma manifestação inequívoca de vontade, materializada na apresentação de uma declaração de alterações, onde especificamente mencione aquela vontade.</w:t>
      </w:r>
    </w:p>
    <w:p w14:paraId="5C42610A"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5.º</w:t>
      </w:r>
    </w:p>
    <w:p w14:paraId="79919CD6"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A Autoridade Tributária tem tido entendimento diferente - em nossa opinião sem cobertura legal - e tem considerado que uma vez ultrapassado o limite de € 150.000,00, a opção torna-se inoficiosa, pelo que, logo que o volume dos proveitos seja inferior àquele valor, os sujeitos passivos, caso não façam a opção, caiem inexoravelmente no regime simplificado.</w:t>
      </w:r>
    </w:p>
    <w:p w14:paraId="5EA8139C" w14:textId="77777777" w:rsidR="0097756B" w:rsidRDefault="0097756B" w:rsidP="00DF59A5">
      <w:pPr>
        <w:jc w:val="center"/>
        <w:rPr>
          <w:rFonts w:ascii="Times New Roman" w:hAnsi="Times New Roman" w:cs="Times New Roman"/>
          <w:b/>
          <w:sz w:val="28"/>
          <w:szCs w:val="28"/>
        </w:rPr>
      </w:pPr>
    </w:p>
    <w:p w14:paraId="623AC6A2" w14:textId="77777777" w:rsidR="00DF59A5" w:rsidRPr="00DF59A5" w:rsidRDefault="00DF59A5" w:rsidP="00DF59A5">
      <w:pPr>
        <w:jc w:val="center"/>
        <w:rPr>
          <w:rFonts w:ascii="Times New Roman" w:hAnsi="Times New Roman" w:cs="Times New Roman"/>
          <w:b/>
          <w:sz w:val="28"/>
          <w:szCs w:val="28"/>
        </w:rPr>
      </w:pPr>
      <w:bookmarkStart w:id="0" w:name="_GoBack"/>
      <w:bookmarkEnd w:id="0"/>
      <w:r w:rsidRPr="00DF59A5">
        <w:rPr>
          <w:rFonts w:ascii="Times New Roman" w:hAnsi="Times New Roman" w:cs="Times New Roman"/>
          <w:b/>
          <w:sz w:val="28"/>
          <w:szCs w:val="28"/>
        </w:rPr>
        <w:lastRenderedPageBreak/>
        <w:t>6.º</w:t>
      </w:r>
    </w:p>
    <w:p w14:paraId="03E32FAA"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Com a devida vénia para aquele entendimento, pensa a(o) reclamante que esse não é o espírito, nem a letra da lei constante do já mencionado n.º 5 do artigo 28.º do CIRS.</w:t>
      </w:r>
    </w:p>
    <w:p w14:paraId="3DA83512"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7.º</w:t>
      </w:r>
    </w:p>
    <w:p w14:paraId="7908C2BC"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Com efeito, a interpretação tem caraterísticas “</w:t>
      </w:r>
      <w:r w:rsidRPr="00DF59A5">
        <w:rPr>
          <w:rFonts w:ascii="Times New Roman" w:hAnsi="Times New Roman" w:cs="Times New Roman"/>
          <w:i/>
          <w:sz w:val="28"/>
          <w:szCs w:val="28"/>
        </w:rPr>
        <w:t>sui generis</w:t>
      </w:r>
      <w:r w:rsidRPr="00DF59A5">
        <w:rPr>
          <w:rFonts w:ascii="Times New Roman" w:hAnsi="Times New Roman" w:cs="Times New Roman"/>
          <w:sz w:val="28"/>
          <w:szCs w:val="28"/>
        </w:rPr>
        <w:t>”, na opinião da(o) reclamante ao arrepio dos direitos dos contribuintes e da livre escolha do regime de opção que o legislador consagrou no mencionado artigo 28.º do CIRS.</w:t>
      </w:r>
    </w:p>
    <w:p w14:paraId="6023A646"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8.º</w:t>
      </w:r>
    </w:p>
    <w:p w14:paraId="52AEAE8F"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Mas também em prol da segurança jurídica das normas, onde o legislador, uma vez escolhido o quadro que melhor se adapte à realidade do sujeito passivo no que concerne ao regime da contabilidade, apenas dele sai, mediante uma inequívoca manifestação de vontade, consubstanciada na apresentação de uma declaração de alterações em que pode optar por um regime diferente daquele em que se encontre enquadrado.</w:t>
      </w:r>
    </w:p>
    <w:p w14:paraId="126B89B4"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9.º</w:t>
      </w:r>
    </w:p>
    <w:p w14:paraId="428E8B7E"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O enquadramento da questão no n.º 2 do mencionado artigo 28.º, como regra determinante da criação da inoficiosidade e consequente reavivar do mecanismo da opção, no entender da(o) reclamante não faz qualquer sentido, pois conflitua abertamente com a redação do n.º 5 do mesmo artigo.</w:t>
      </w:r>
    </w:p>
    <w:p w14:paraId="718A3717"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10.º</w:t>
      </w:r>
    </w:p>
    <w:p w14:paraId="5E7050C9"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Ora, o legislador, no ato de legislar, não convive com aquela conflitualidade, mas antes com a segurança objetiva da lei, pelo que, no entender da reclamante, o n.º 2 do artigo 28.º não pode ser entendido nem usado na forma como o entende a Autoridade Tributária, mas sim e apenas para o enquadramento inicial, isto é, antes da opção efetuada pelo contribuinte.</w:t>
      </w:r>
    </w:p>
    <w:p w14:paraId="15D80A5C"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11.º</w:t>
      </w:r>
    </w:p>
    <w:p w14:paraId="1C122F02"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Tal tem sido, aliás, o entendimento da doutrina e da jurisprudência.</w:t>
      </w:r>
    </w:p>
    <w:p w14:paraId="00A2336D"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12.º</w:t>
      </w:r>
    </w:p>
    <w:p w14:paraId="699B8BF3"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A título de exemplo, refere SALDANHA SANCHES que o regime simplificado “</w:t>
      </w:r>
      <w:r w:rsidRPr="00DF59A5">
        <w:rPr>
          <w:rFonts w:ascii="Times New Roman" w:hAnsi="Times New Roman" w:cs="Times New Roman"/>
          <w:i/>
          <w:sz w:val="28"/>
          <w:szCs w:val="28"/>
        </w:rPr>
        <w:t xml:space="preserve">tem sempre como pressuposto uma ação do contribuinte que renuncia ao seu direito subjetivo de ser tributado com base na </w:t>
      </w:r>
      <w:r w:rsidRPr="00DF59A5">
        <w:rPr>
          <w:rFonts w:ascii="Times New Roman" w:hAnsi="Times New Roman" w:cs="Times New Roman"/>
          <w:i/>
          <w:sz w:val="28"/>
          <w:szCs w:val="28"/>
        </w:rPr>
        <w:lastRenderedPageBreak/>
        <w:t xml:space="preserve">contabilidade. E que, procedendo a uma estimativa dos custos que vai suportar e declarar, opta pela dedução </w:t>
      </w:r>
      <w:proofErr w:type="spellStart"/>
      <w:r w:rsidRPr="00DF59A5">
        <w:rPr>
          <w:rFonts w:ascii="Times New Roman" w:hAnsi="Times New Roman" w:cs="Times New Roman"/>
          <w:i/>
          <w:sz w:val="28"/>
          <w:szCs w:val="28"/>
        </w:rPr>
        <w:t>estandartizada</w:t>
      </w:r>
      <w:proofErr w:type="spellEnd"/>
      <w:r w:rsidRPr="00DF59A5">
        <w:rPr>
          <w:rFonts w:ascii="Times New Roman" w:hAnsi="Times New Roman" w:cs="Times New Roman"/>
          <w:sz w:val="28"/>
          <w:szCs w:val="28"/>
        </w:rPr>
        <w:t>.” Mais à frente acrescenta ainda que se trata de uma daquelas situações “</w:t>
      </w:r>
      <w:r w:rsidRPr="00DF59A5">
        <w:rPr>
          <w:rFonts w:ascii="Times New Roman" w:hAnsi="Times New Roman" w:cs="Times New Roman"/>
          <w:i/>
          <w:sz w:val="28"/>
          <w:szCs w:val="28"/>
        </w:rPr>
        <w:t>em que a lei atribui relevância à vontade do contribuinte e em que este pode optar pelo regime que considera mais favoráve</w:t>
      </w:r>
      <w:r w:rsidRPr="00DF59A5">
        <w:rPr>
          <w:rFonts w:ascii="Times New Roman" w:hAnsi="Times New Roman" w:cs="Times New Roman"/>
          <w:sz w:val="28"/>
          <w:szCs w:val="28"/>
        </w:rPr>
        <w:t>l”. (SALDANHA SANCHES, Revista Fiscalidade 7/8, Julho/Outubro 2001, p. 48).</w:t>
      </w:r>
    </w:p>
    <w:p w14:paraId="0F54E1B1"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13.º</w:t>
      </w:r>
    </w:p>
    <w:p w14:paraId="4662FE45"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No mesmo sentido, tem sido uniforme a jurisprudência do STA em afirmar que a permanência num dos regimes “</w:t>
      </w:r>
      <w:r w:rsidRPr="00DF59A5">
        <w:rPr>
          <w:rFonts w:ascii="Times New Roman" w:hAnsi="Times New Roman" w:cs="Times New Roman"/>
          <w:i/>
          <w:sz w:val="28"/>
          <w:szCs w:val="28"/>
        </w:rPr>
        <w:t>é de três anos, prorrogável por iguais períodos, exceto se o sujeito passivo comunicar a alteração do regime pelo qual se encontra abrangido (n.º 5 do artigo 28.º)</w:t>
      </w:r>
      <w:r w:rsidRPr="00DF59A5">
        <w:rPr>
          <w:rFonts w:ascii="Times New Roman" w:hAnsi="Times New Roman" w:cs="Times New Roman"/>
          <w:sz w:val="28"/>
          <w:szCs w:val="28"/>
        </w:rPr>
        <w:t>” (Acórdão do STA, de 25 de janeiro de 2012, Proc. 210/11).</w:t>
      </w:r>
    </w:p>
    <w:p w14:paraId="5EC17508"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14.º</w:t>
      </w:r>
    </w:p>
    <w:p w14:paraId="3EB39730"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Nem mesmo se diga que a reclamante foi avisada do seu enquadramento no regime da contabilidade, pois, conforme já se demonstrou, no entender da reclamante, carece de legalidade o procedimento verificado.</w:t>
      </w:r>
    </w:p>
    <w:p w14:paraId="0ABBD9C4"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15.º</w:t>
      </w:r>
    </w:p>
    <w:p w14:paraId="639DF90F"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Outro sim, no entender da reclamante, seria a notificação ao sujeito passivo da alteração da sua situação tributária, conforme dispõe o artigo 35.º do CPPT, atendendo aos efeitos negativos que terá no seu património o novo enquadramento de tributação, o que não foi feito pela Autoridade Tributária.</w:t>
      </w:r>
    </w:p>
    <w:p w14:paraId="3E68B1E1"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16.º</w:t>
      </w:r>
    </w:p>
    <w:p w14:paraId="517CE120"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O que não deixa de ser enigmático quanto às motivações da Autoridade Tributária, tão diligente num caso e tão omissa no outro.</w:t>
      </w:r>
    </w:p>
    <w:p w14:paraId="3ED5610A"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17.º</w:t>
      </w:r>
    </w:p>
    <w:p w14:paraId="1AF8A35D"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Com o devido respeito por interpretações diferentes, é entendimento da(o) reclamante que, atento os eventuais efeitos que a opção de tributação pode ter no seu património, a notificação daquele facto seria sempre obrigatória, pois estamos perante um direito de opção que o legislador pretende salvaguardar aos contribuintes e situa-lo na esfera da sua vontade.</w:t>
      </w:r>
    </w:p>
    <w:p w14:paraId="4F9FDB62" w14:textId="77777777" w:rsidR="00DF59A5" w:rsidRPr="00DF59A5" w:rsidRDefault="00DF59A5" w:rsidP="00DF59A5">
      <w:pPr>
        <w:jc w:val="center"/>
        <w:rPr>
          <w:rFonts w:ascii="Times New Roman" w:hAnsi="Times New Roman" w:cs="Times New Roman"/>
          <w:b/>
          <w:sz w:val="28"/>
          <w:szCs w:val="28"/>
        </w:rPr>
      </w:pPr>
      <w:r w:rsidRPr="00DF59A5">
        <w:rPr>
          <w:rFonts w:ascii="Times New Roman" w:hAnsi="Times New Roman" w:cs="Times New Roman"/>
          <w:b/>
          <w:sz w:val="28"/>
          <w:szCs w:val="28"/>
        </w:rPr>
        <w:t>18.º</w:t>
      </w:r>
    </w:p>
    <w:p w14:paraId="42B02C12" w14:textId="77777777" w:rsidR="00DF59A5" w:rsidRPr="00DF59A5" w:rsidRDefault="00DF59A5" w:rsidP="00DF59A5">
      <w:pPr>
        <w:jc w:val="both"/>
        <w:rPr>
          <w:rFonts w:ascii="Times New Roman" w:hAnsi="Times New Roman" w:cs="Times New Roman"/>
          <w:sz w:val="28"/>
          <w:szCs w:val="28"/>
        </w:rPr>
      </w:pPr>
      <w:r w:rsidRPr="00DF59A5">
        <w:rPr>
          <w:rFonts w:ascii="Times New Roman" w:hAnsi="Times New Roman" w:cs="Times New Roman"/>
          <w:sz w:val="28"/>
          <w:szCs w:val="28"/>
        </w:rPr>
        <w:t xml:space="preserve">Nos termos de tudo o que antecede, requer a reclamante a V. Ex.ª, o seu enquadramento no regime da contabilidade, seja aceite a declaração de rendimentos modelo 3 do IRS do ano de 2012, acompanhada do </w:t>
      </w:r>
      <w:r w:rsidRPr="00DF59A5">
        <w:rPr>
          <w:rFonts w:ascii="Times New Roman" w:hAnsi="Times New Roman" w:cs="Times New Roman"/>
          <w:sz w:val="28"/>
          <w:szCs w:val="28"/>
        </w:rPr>
        <w:lastRenderedPageBreak/>
        <w:t xml:space="preserve">correspondente modelo C, atempadamente entregue pela internet, COMO É DE JUSTIÇA. </w:t>
      </w:r>
    </w:p>
    <w:p w14:paraId="7B9796D6" w14:textId="77777777" w:rsidR="00DF59A5" w:rsidRPr="00DF59A5" w:rsidRDefault="00DF59A5" w:rsidP="00DF59A5">
      <w:pPr>
        <w:jc w:val="both"/>
        <w:rPr>
          <w:rFonts w:ascii="Times New Roman" w:hAnsi="Times New Roman" w:cs="Times New Roman"/>
          <w:sz w:val="28"/>
          <w:szCs w:val="28"/>
        </w:rPr>
      </w:pPr>
    </w:p>
    <w:p w14:paraId="018289F4" w14:textId="77777777" w:rsidR="00DF59A5" w:rsidRPr="00DF59A5" w:rsidRDefault="00DF59A5" w:rsidP="00DF59A5">
      <w:pPr>
        <w:jc w:val="center"/>
        <w:rPr>
          <w:rFonts w:ascii="Times New Roman" w:hAnsi="Times New Roman" w:cs="Times New Roman"/>
          <w:sz w:val="28"/>
          <w:szCs w:val="28"/>
        </w:rPr>
      </w:pPr>
      <w:r w:rsidRPr="00DF59A5">
        <w:rPr>
          <w:rFonts w:ascii="Times New Roman" w:hAnsi="Times New Roman" w:cs="Times New Roman"/>
          <w:sz w:val="28"/>
          <w:szCs w:val="28"/>
        </w:rPr>
        <w:t>[Data]</w:t>
      </w:r>
    </w:p>
    <w:p w14:paraId="07F31303" w14:textId="77777777" w:rsidR="00DF59A5" w:rsidRPr="00DF59A5" w:rsidRDefault="00DF59A5" w:rsidP="00DF59A5">
      <w:pPr>
        <w:jc w:val="center"/>
        <w:rPr>
          <w:rFonts w:ascii="Times New Roman" w:hAnsi="Times New Roman" w:cs="Times New Roman"/>
          <w:sz w:val="28"/>
          <w:szCs w:val="28"/>
        </w:rPr>
      </w:pPr>
      <w:r w:rsidRPr="00DF59A5">
        <w:rPr>
          <w:rFonts w:ascii="Times New Roman" w:hAnsi="Times New Roman" w:cs="Times New Roman"/>
          <w:sz w:val="28"/>
          <w:szCs w:val="28"/>
        </w:rPr>
        <w:t>A Reclamante</w:t>
      </w:r>
    </w:p>
    <w:p w14:paraId="132D0481" w14:textId="77777777" w:rsidR="00DF59A5" w:rsidRPr="00DF59A5" w:rsidRDefault="00DF59A5" w:rsidP="00DF59A5">
      <w:pPr>
        <w:jc w:val="both"/>
        <w:rPr>
          <w:rFonts w:ascii="Times New Roman" w:hAnsi="Times New Roman" w:cs="Times New Roman"/>
          <w:sz w:val="28"/>
          <w:szCs w:val="28"/>
        </w:rPr>
      </w:pPr>
    </w:p>
    <w:p w14:paraId="4112807F" w14:textId="77777777" w:rsidR="00DF59A5" w:rsidRPr="00DF59A5" w:rsidRDefault="00DF59A5" w:rsidP="00DF59A5">
      <w:pPr>
        <w:jc w:val="center"/>
        <w:rPr>
          <w:rFonts w:ascii="Times New Roman" w:hAnsi="Times New Roman" w:cs="Times New Roman"/>
          <w:sz w:val="28"/>
          <w:szCs w:val="28"/>
        </w:rPr>
      </w:pPr>
      <w:r w:rsidRPr="00DF59A5">
        <w:rPr>
          <w:rFonts w:ascii="Times New Roman" w:hAnsi="Times New Roman" w:cs="Times New Roman"/>
          <w:sz w:val="28"/>
          <w:szCs w:val="28"/>
        </w:rPr>
        <w:t>(Nome)</w:t>
      </w:r>
    </w:p>
    <w:p w14:paraId="7DD87019" w14:textId="77777777" w:rsidR="00DF59A5" w:rsidRDefault="00DF59A5" w:rsidP="002D5A02">
      <w:pPr>
        <w:jc w:val="both"/>
        <w:rPr>
          <w:rFonts w:ascii="Times New Roman" w:hAnsi="Times New Roman" w:cs="Times New Roman"/>
          <w:sz w:val="28"/>
          <w:szCs w:val="28"/>
        </w:rPr>
      </w:pPr>
    </w:p>
    <w:p w14:paraId="73515D13" w14:textId="77777777" w:rsidR="00DF59A5" w:rsidRDefault="00DF59A5" w:rsidP="002D5A02">
      <w:pPr>
        <w:jc w:val="both"/>
        <w:rPr>
          <w:rFonts w:ascii="Times New Roman" w:hAnsi="Times New Roman" w:cs="Times New Roman"/>
          <w:sz w:val="28"/>
          <w:szCs w:val="28"/>
        </w:rPr>
      </w:pPr>
    </w:p>
    <w:p w14:paraId="136C949F" w14:textId="77777777" w:rsidR="00DF59A5" w:rsidRDefault="00DF59A5" w:rsidP="002D5A02">
      <w:pPr>
        <w:jc w:val="both"/>
        <w:rPr>
          <w:rFonts w:ascii="Times New Roman" w:hAnsi="Times New Roman" w:cs="Times New Roman"/>
          <w:sz w:val="28"/>
          <w:szCs w:val="28"/>
        </w:rPr>
      </w:pPr>
    </w:p>
    <w:p w14:paraId="478E4ED5" w14:textId="77777777" w:rsidR="00DF59A5" w:rsidRDefault="00DF59A5" w:rsidP="002D5A02">
      <w:pPr>
        <w:jc w:val="both"/>
        <w:rPr>
          <w:rFonts w:ascii="Times New Roman" w:hAnsi="Times New Roman" w:cs="Times New Roman"/>
          <w:sz w:val="28"/>
          <w:szCs w:val="28"/>
        </w:rPr>
      </w:pPr>
    </w:p>
    <w:p w14:paraId="39732EA0" w14:textId="77777777" w:rsidR="00DF59A5" w:rsidRDefault="00DF59A5" w:rsidP="002D5A02">
      <w:pPr>
        <w:jc w:val="both"/>
        <w:rPr>
          <w:rFonts w:ascii="Times New Roman" w:hAnsi="Times New Roman" w:cs="Times New Roman"/>
          <w:sz w:val="28"/>
          <w:szCs w:val="28"/>
        </w:rPr>
      </w:pPr>
    </w:p>
    <w:p w14:paraId="12D08386" w14:textId="77777777" w:rsidR="00DF59A5" w:rsidRPr="002D5A02" w:rsidRDefault="00DF59A5" w:rsidP="002D5A02">
      <w:pPr>
        <w:jc w:val="both"/>
        <w:rPr>
          <w:rFonts w:ascii="Times New Roman" w:hAnsi="Times New Roman" w:cs="Times New Roman"/>
          <w:sz w:val="28"/>
          <w:szCs w:val="28"/>
        </w:rPr>
      </w:pPr>
    </w:p>
    <w:sectPr w:rsidR="00DF59A5" w:rsidRPr="002D5A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notTrueType/>
    <w:pitch w:val="variable"/>
    <w:sig w:usb0="00000003" w:usb1="00000000" w:usb2="00000000" w:usb3="00000000" w:csb0="00000001" w:csb1="00000000"/>
  </w:font>
  <w:font w:name="Times New Roman">
    <w:altName w:val="Times"/>
    <w:panose1 w:val="02020603050405020304"/>
    <w:charset w:val="4D"/>
    <w:family w:val="roman"/>
    <w:notTrueType/>
    <w:pitch w:val="variable"/>
    <w:sig w:usb0="00000003" w:usb1="00000000" w:usb2="00000000" w:usb3="00000000" w:csb0="00000001" w:csb1="00000000"/>
  </w:font>
  <w:font w:name="Arial">
    <w:panose1 w:val="020B0604020202020204"/>
    <w:charset w:val="00"/>
    <w:family w:val="auto"/>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roman"/>
    <w:notTrueType/>
    <w:pitch w:val="default"/>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A02"/>
    <w:rsid w:val="002D5A02"/>
    <w:rsid w:val="006F5235"/>
    <w:rsid w:val="0097756B"/>
    <w:rsid w:val="00A941F2"/>
    <w:rsid w:val="00AF5C76"/>
    <w:rsid w:val="00DF59A5"/>
    <w:rsid w:val="00E668C6"/>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0D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76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791</Words>
  <Characters>4515</Characters>
  <Application>Microsoft Macintosh Word</Application>
  <DocSecurity>4</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Bastonário - António Domingues de Azevedo</dc:creator>
  <cp:keywords/>
  <dc:description/>
  <cp:lastModifiedBy>Duarte Camacho</cp:lastModifiedBy>
  <cp:revision>2</cp:revision>
  <dcterms:created xsi:type="dcterms:W3CDTF">2013-07-10T17:52:00Z</dcterms:created>
  <dcterms:modified xsi:type="dcterms:W3CDTF">2013-07-10T17:52:00Z</dcterms:modified>
</cp:coreProperties>
</file>