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259" w:rsidRPr="00AC4D45" w:rsidRDefault="00A80259" w:rsidP="007F4E86">
      <w:pPr>
        <w:spacing w:line="240" w:lineRule="auto"/>
        <w:ind w:left="284"/>
        <w:jc w:val="both"/>
        <w:rPr>
          <w:rFonts w:ascii="Times New Roman" w:hAnsi="Times New Roman" w:cs="Times New Roman"/>
          <w:b/>
          <w:bCs/>
          <w:sz w:val="24"/>
          <w:szCs w:val="24"/>
        </w:rPr>
      </w:pPr>
      <w:r w:rsidRPr="00E34B53">
        <w:rPr>
          <w:rFonts w:ascii="Times New Roman" w:hAnsi="Times New Roman" w:cs="Times New Roman"/>
          <w:b/>
          <w:bCs/>
          <w:sz w:val="24"/>
          <w:szCs w:val="24"/>
          <w:highlight w:val="yellow"/>
        </w:rPr>
        <w:t xml:space="preserve">13 </w:t>
      </w:r>
      <w:r w:rsidR="00E34B53" w:rsidRPr="00E34B53">
        <w:rPr>
          <w:rFonts w:ascii="Times New Roman" w:hAnsi="Times New Roman" w:cs="Times New Roman"/>
          <w:b/>
          <w:bCs/>
          <w:sz w:val="24"/>
          <w:szCs w:val="24"/>
          <w:highlight w:val="yellow"/>
        </w:rPr>
        <w:t xml:space="preserve">de </w:t>
      </w:r>
      <w:r w:rsidRPr="00E34B53">
        <w:rPr>
          <w:rFonts w:ascii="Times New Roman" w:hAnsi="Times New Roman" w:cs="Times New Roman"/>
          <w:b/>
          <w:bCs/>
          <w:sz w:val="24"/>
          <w:szCs w:val="24"/>
          <w:highlight w:val="yellow"/>
        </w:rPr>
        <w:t xml:space="preserve">Março </w:t>
      </w:r>
      <w:r w:rsidR="00E34B53" w:rsidRPr="00E34B53">
        <w:rPr>
          <w:rFonts w:ascii="Times New Roman" w:hAnsi="Times New Roman" w:cs="Times New Roman"/>
          <w:b/>
          <w:bCs/>
          <w:sz w:val="24"/>
          <w:szCs w:val="24"/>
          <w:highlight w:val="yellow"/>
        </w:rPr>
        <w:t xml:space="preserve">de </w:t>
      </w:r>
      <w:r w:rsidRPr="00E34B53">
        <w:rPr>
          <w:rFonts w:ascii="Times New Roman" w:hAnsi="Times New Roman" w:cs="Times New Roman"/>
          <w:b/>
          <w:bCs/>
          <w:sz w:val="24"/>
          <w:szCs w:val="24"/>
          <w:highlight w:val="yellow"/>
        </w:rPr>
        <w:t>2010</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b/>
          <w:bCs/>
          <w:sz w:val="24"/>
          <w:szCs w:val="24"/>
        </w:rPr>
      </w:pPr>
      <w:r w:rsidRPr="00AC4D45">
        <w:rPr>
          <w:rFonts w:ascii="Times New Roman" w:hAnsi="Times New Roman" w:cs="Times New Roman"/>
          <w:b/>
          <w:bCs/>
          <w:sz w:val="24"/>
          <w:szCs w:val="24"/>
        </w:rPr>
        <w:t>Questão 25.:</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 Sociedade Beta, Lda. adquiriu em 2009 uma viatura ligeira de passageiros (cujo nível</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homologado de emissão de CO2 é superior a 120g/km) por € 39.927,87, tendo-a amortizado</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nesse ano à taxa de 20%. A tributação autónoma apurada em IRC do exercício de 2009</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relativa à amortização dessa viatura foi de:</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 € 598,56.</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b) € 748,20.</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c) € 798,56.</w:t>
      </w:r>
    </w:p>
    <w:p w:rsidR="00A80259"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d) € 1.000,00.</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IRC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De acordo com art.º 33.º, nº 1, al. c), a parte das reintegrações praticadas sobre o custo de aquisição superior a € 29.927,87 não são aceites fiscalmente. A reintegração foi efectuada à</w:t>
      </w:r>
      <w:r w:rsidR="007F4E86">
        <w:rPr>
          <w:rFonts w:ascii="Times New Roman" w:hAnsi="Times New Roman" w:cs="Times New Roman"/>
          <w:sz w:val="24"/>
          <w:szCs w:val="24"/>
        </w:rPr>
        <w:t xml:space="preserve"> </w:t>
      </w:r>
      <w:r w:rsidRPr="005C173A">
        <w:rPr>
          <w:rFonts w:ascii="Times New Roman" w:hAnsi="Times New Roman" w:cs="Times New Roman"/>
          <w:sz w:val="24"/>
          <w:szCs w:val="24"/>
        </w:rPr>
        <w:t xml:space="preserve">taxa de 20% (€ 39.927,87 x 20% = € 7.985,57), pelo que não será aceite a parte da amortização calculada sobre o valor que excede € 29.927,87, ou seja € 10.000. Assim, teria de acrescer ao lucro tributável o montante de € 2.000, correspondente a € 10.000 x 20% </w:t>
      </w:r>
      <w:r w:rsidR="007F4E86">
        <w:rPr>
          <w:rFonts w:ascii="Times New Roman" w:hAnsi="Times New Roman" w:cs="Times New Roman"/>
          <w:sz w:val="24"/>
          <w:szCs w:val="24"/>
        </w:rPr>
        <w:t xml:space="preserve"> </w:t>
      </w:r>
      <w:r w:rsidRPr="005C173A">
        <w:rPr>
          <w:rFonts w:ascii="Times New Roman" w:hAnsi="Times New Roman" w:cs="Times New Roman"/>
          <w:sz w:val="24"/>
          <w:szCs w:val="24"/>
        </w:rPr>
        <w:t xml:space="preserve">(Custo Contabilístico = € 7.985,57; Custo Fiscal = € 5.985,57; diferença a acrescer no </w:t>
      </w:r>
      <w:r w:rsidR="007F4E86">
        <w:rPr>
          <w:rFonts w:ascii="Times New Roman" w:hAnsi="Times New Roman" w:cs="Times New Roman"/>
          <w:sz w:val="24"/>
          <w:szCs w:val="24"/>
        </w:rPr>
        <w:t xml:space="preserve"> </w:t>
      </w:r>
      <w:r w:rsidRPr="005C173A">
        <w:rPr>
          <w:rFonts w:ascii="Times New Roman" w:hAnsi="Times New Roman" w:cs="Times New Roman"/>
          <w:sz w:val="24"/>
          <w:szCs w:val="24"/>
        </w:rPr>
        <w:t xml:space="preserve">Quadro 07 = € 2.000).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Nos termos do art.º 81.º, n.º 3, al. a), os encargos dedutíveis (neste caso o custo fiscal de € </w:t>
      </w:r>
      <w:r w:rsidR="007F4E86">
        <w:rPr>
          <w:rFonts w:ascii="Times New Roman" w:hAnsi="Times New Roman" w:cs="Times New Roman"/>
          <w:sz w:val="24"/>
          <w:szCs w:val="24"/>
        </w:rPr>
        <w:t xml:space="preserve"> </w:t>
      </w:r>
      <w:r w:rsidRPr="005C173A">
        <w:rPr>
          <w:rFonts w:ascii="Times New Roman" w:hAnsi="Times New Roman" w:cs="Times New Roman"/>
          <w:sz w:val="24"/>
          <w:szCs w:val="24"/>
        </w:rPr>
        <w:t xml:space="preserve">5.985,57), são tributados autonomamente à taxa de 10%, quando a emissão de CO2 da viatura for superior a 120g/Km2.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Assim a tributação autónoma será de € 5.985,57 x 10% = € 598,56 </w:t>
      </w:r>
      <w:r w:rsidR="007F4E86">
        <w:rPr>
          <w:rFonts w:ascii="Times New Roman" w:hAnsi="Times New Roman" w:cs="Times New Roman"/>
          <w:sz w:val="24"/>
          <w:szCs w:val="24"/>
        </w:rPr>
        <w:t xml:space="preserve"> </w:t>
      </w:r>
    </w:p>
    <w:p w:rsidR="005C173A" w:rsidRPr="007F4E86" w:rsidRDefault="005C173A" w:rsidP="007F4E86">
      <w:pPr>
        <w:autoSpaceDE w:val="0"/>
        <w:autoSpaceDN w:val="0"/>
        <w:adjustRightInd w:val="0"/>
        <w:spacing w:after="0" w:line="240" w:lineRule="auto"/>
        <w:ind w:left="284"/>
        <w:jc w:val="both"/>
        <w:rPr>
          <w:rFonts w:ascii="Times New Roman" w:hAnsi="Times New Roman" w:cs="Times New Roman"/>
          <w:b/>
          <w:i/>
          <w:sz w:val="24"/>
          <w:szCs w:val="24"/>
        </w:rPr>
      </w:pPr>
      <w:r w:rsidRPr="007F4E86">
        <w:rPr>
          <w:rFonts w:ascii="Times New Roman" w:hAnsi="Times New Roman" w:cs="Times New Roman"/>
          <w:b/>
          <w:i/>
          <w:sz w:val="24"/>
          <w:szCs w:val="24"/>
        </w:rPr>
        <w:t xml:space="preserve">Logo, a resposta correcta é: a) </w:t>
      </w:r>
    </w:p>
    <w:p w:rsid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p>
    <w:p w:rsidR="005C173A" w:rsidRPr="00AC4D45"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b/>
          <w:bCs/>
          <w:sz w:val="24"/>
          <w:szCs w:val="24"/>
        </w:rPr>
      </w:pPr>
      <w:r w:rsidRPr="00AC4D45">
        <w:rPr>
          <w:rFonts w:ascii="Times New Roman" w:hAnsi="Times New Roman" w:cs="Times New Roman"/>
          <w:b/>
          <w:bCs/>
          <w:sz w:val="24"/>
          <w:szCs w:val="24"/>
        </w:rPr>
        <w:t>Questão 26.:</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Em 2010, no âmbito da tributação em IRC, a constituição de provisões:</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 Dá origem a gastos obrigatoriamente aceites para efeitos fiscais, respeitando o</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princípio contabilístico da prudência.</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b) Dá origem a gastos fiscalmente aceites sempre que os riscos venham a ser</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confirmados no futuro.</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c) Só dá origem a gastos fiscalmente aceites se a Direcção-Geral dos Impostos aceitar</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a existência de riscos.</w:t>
      </w:r>
    </w:p>
    <w:p w:rsidR="00A80259"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d) Nenhuma das respostas anteriores é verdadeira.</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IRC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A problemática das provisões no CIRC (versão para 2010), está vertida no art.º 39.ºonde se encontram tipificadas nas alíneas a) a d) e no para art.º 40.º no que se refere à provisão específica para a reparação de danos de carácter ambiental.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O SNC estabelece na NCRF 21, designadamente nos §§ 13 a 25 as condições necessárias </w:t>
      </w:r>
      <w:r w:rsidR="007F4E86">
        <w:rPr>
          <w:rFonts w:ascii="Times New Roman" w:hAnsi="Times New Roman" w:cs="Times New Roman"/>
          <w:sz w:val="24"/>
          <w:szCs w:val="24"/>
        </w:rPr>
        <w:t xml:space="preserve"> </w:t>
      </w:r>
      <w:r w:rsidRPr="005C173A">
        <w:rPr>
          <w:rFonts w:ascii="Times New Roman" w:hAnsi="Times New Roman" w:cs="Times New Roman"/>
          <w:sz w:val="24"/>
          <w:szCs w:val="24"/>
        </w:rPr>
        <w:t xml:space="preserve">para a sua constituição, sendo de referir que deve cumprir 3 condições: a) uma entidade tenha uma obrigação presente (legal ou construtiva) como resultado de um acontecimento passado; b) seja provável que um </w:t>
      </w:r>
      <w:proofErr w:type="spellStart"/>
      <w:r w:rsidRPr="005C173A">
        <w:rPr>
          <w:rFonts w:ascii="Times New Roman" w:hAnsi="Times New Roman" w:cs="Times New Roman"/>
          <w:sz w:val="24"/>
          <w:szCs w:val="24"/>
        </w:rPr>
        <w:t>exfluxo</w:t>
      </w:r>
      <w:proofErr w:type="spellEnd"/>
      <w:r w:rsidRPr="005C173A">
        <w:rPr>
          <w:rFonts w:ascii="Times New Roman" w:hAnsi="Times New Roman" w:cs="Times New Roman"/>
          <w:sz w:val="24"/>
          <w:szCs w:val="24"/>
        </w:rPr>
        <w:t xml:space="preserve"> de recursos que incorporem benefícios económicos será necessário para liquidar a obrigação; e c) possa ser feita uma estimativa fiável da quantia da obrigação.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Do normativo acima indicado, constata-se que a resposta a) é falsa uma vez que não existe obrigação de aceitação fiscal  das provisões constituídas de acordo com o SNC, quando as mesmas não encontram acolhimento no CIRC, como será o caso de provisões não contempladas nos art.º 39.º e 40.º do CIRC.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A resposta b) também e falsa, porquanto faz depender da sua aceitação um facto futuro, o que não é praticável nem consta dos artigos citados como condição.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Finalmente a  resposta c) também é falsa, na medida em que impõe uma condição administrativa supletiva, a acrescer às condições legais impostas nas normas do SNC e no CIRC, o que não se verifica.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Desta forma, verifica-se que todas as afirmações são falsas. </w:t>
      </w:r>
    </w:p>
    <w:p w:rsidR="007E3BAD" w:rsidRPr="007F4E86" w:rsidRDefault="005C173A" w:rsidP="007F4E86">
      <w:pPr>
        <w:autoSpaceDE w:val="0"/>
        <w:autoSpaceDN w:val="0"/>
        <w:adjustRightInd w:val="0"/>
        <w:spacing w:after="0" w:line="240" w:lineRule="auto"/>
        <w:ind w:left="284"/>
        <w:jc w:val="both"/>
        <w:rPr>
          <w:rFonts w:ascii="Times New Roman" w:hAnsi="Times New Roman" w:cs="Times New Roman"/>
          <w:b/>
          <w:i/>
          <w:sz w:val="24"/>
          <w:szCs w:val="24"/>
        </w:rPr>
      </w:pPr>
      <w:r w:rsidRPr="007F4E86">
        <w:rPr>
          <w:rFonts w:ascii="Times New Roman" w:hAnsi="Times New Roman" w:cs="Times New Roman"/>
          <w:b/>
          <w:i/>
          <w:sz w:val="24"/>
          <w:szCs w:val="24"/>
        </w:rPr>
        <w:t>Logo, a resposta correcta é: d)</w:t>
      </w:r>
    </w:p>
    <w:p w:rsidR="005C173A" w:rsidRDefault="005C173A" w:rsidP="007F4E86">
      <w:pPr>
        <w:autoSpaceDE w:val="0"/>
        <w:autoSpaceDN w:val="0"/>
        <w:adjustRightInd w:val="0"/>
        <w:spacing w:after="0" w:line="240" w:lineRule="auto"/>
        <w:ind w:left="284"/>
        <w:jc w:val="both"/>
        <w:rPr>
          <w:rFonts w:ascii="Times New Roman" w:hAnsi="Times New Roman" w:cs="Times New Roman"/>
          <w:b/>
          <w:bCs/>
          <w:sz w:val="24"/>
          <w:szCs w:val="24"/>
        </w:rPr>
      </w:pP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b/>
          <w:bCs/>
          <w:sz w:val="24"/>
          <w:szCs w:val="24"/>
        </w:rPr>
      </w:pPr>
      <w:r w:rsidRPr="00AC4D45">
        <w:rPr>
          <w:rFonts w:ascii="Times New Roman" w:hAnsi="Times New Roman" w:cs="Times New Roman"/>
          <w:b/>
          <w:bCs/>
          <w:sz w:val="24"/>
          <w:szCs w:val="24"/>
        </w:rPr>
        <w:t>Questão 27.:</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Qual das seguintes variações patrimoniais é relevante para efeitos de determinação do lucro</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lastRenderedPageBreak/>
        <w:t>tributável das sociedades em Portugal?</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 Reavaliação do imobilizado não prevista em diploma legal de carácter fiscal.</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b) Reavaliação do imobilizado prevista em diploma legal de carácter fiscal.</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c) Aumento de capital de uma sociedade anónima não reservado a accionistas.</w:t>
      </w:r>
    </w:p>
    <w:p w:rsidR="00A80259" w:rsidRDefault="00A80259" w:rsidP="007F4E86">
      <w:pPr>
        <w:spacing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d) Doação de um imóvel recebida pela sociedade.</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IRC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A problemática das Variações Patrimoniais Positivas está referida no art.º 21.º do CIRC. No seu articulado, verifica-se que as 3 primeiras variações patrimoniais indicadas nas alíneas a) b) e c) se encontram excepcionadas de concorrerem para a formação do lucro tributável. Assim as reavaliações não previstas em diploma legal de carácter fiscal (reavaliação livre), constitui uma mais-valia potencial ou latente nos termos da al. b) do n.º 1, bem como as</w:t>
      </w:r>
      <w:r w:rsidR="007F4E86">
        <w:rPr>
          <w:rFonts w:ascii="Times New Roman" w:hAnsi="Times New Roman" w:cs="Times New Roman"/>
          <w:sz w:val="24"/>
          <w:szCs w:val="24"/>
        </w:rPr>
        <w:t xml:space="preserve"> </w:t>
      </w:r>
      <w:r w:rsidRPr="005C173A">
        <w:rPr>
          <w:rFonts w:ascii="Times New Roman" w:hAnsi="Times New Roman" w:cs="Times New Roman"/>
          <w:sz w:val="24"/>
          <w:szCs w:val="24"/>
        </w:rPr>
        <w:t xml:space="preserve">previstas em diploma legal de carácter fiscal como expressamente refere a mesma alínea. No que se refere ao aumento de capital, que configura uma entrada de capital, está excepcionado na al. a) do n.º 1.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Por último, as doações auferidas pelas sociedades constituem variações positivas dos Capitais Próprios (conta 594) e que não se encontra excepcionada no n.º 1, referindo-se mesmo o n.º 2 à problemática da sua quantificação, remetendo para as regras do Código do Imposto do selo, onde estas doações se encontram não sujeitas. </w:t>
      </w:r>
    </w:p>
    <w:p w:rsidR="005C173A" w:rsidRPr="007F4E86" w:rsidRDefault="005C173A" w:rsidP="007F4E86">
      <w:pPr>
        <w:spacing w:line="240" w:lineRule="auto"/>
        <w:ind w:left="284"/>
        <w:jc w:val="both"/>
        <w:rPr>
          <w:rFonts w:ascii="Times New Roman" w:hAnsi="Times New Roman" w:cs="Times New Roman"/>
          <w:b/>
          <w:i/>
          <w:sz w:val="24"/>
          <w:szCs w:val="24"/>
        </w:rPr>
      </w:pPr>
      <w:r w:rsidRPr="007F4E86">
        <w:rPr>
          <w:rFonts w:ascii="Times New Roman" w:hAnsi="Times New Roman" w:cs="Times New Roman"/>
          <w:b/>
          <w:i/>
          <w:sz w:val="24"/>
          <w:szCs w:val="24"/>
        </w:rPr>
        <w:t xml:space="preserve"> Logo, a resposta correcta é: d)</w:t>
      </w:r>
    </w:p>
    <w:p w:rsidR="005C173A" w:rsidRPr="00AC4D45" w:rsidRDefault="005C173A" w:rsidP="007F4E86">
      <w:pPr>
        <w:spacing w:line="240" w:lineRule="auto"/>
        <w:ind w:left="284"/>
        <w:jc w:val="both"/>
        <w:rPr>
          <w:rFonts w:ascii="Times New Roman" w:hAnsi="Times New Roman" w:cs="Times New Roman"/>
          <w:sz w:val="24"/>
          <w:szCs w:val="24"/>
        </w:rPr>
      </w:pP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b/>
          <w:bCs/>
          <w:sz w:val="24"/>
          <w:szCs w:val="24"/>
        </w:rPr>
      </w:pPr>
      <w:r w:rsidRPr="00AC4D45">
        <w:rPr>
          <w:rFonts w:ascii="Times New Roman" w:hAnsi="Times New Roman" w:cs="Times New Roman"/>
          <w:b/>
          <w:bCs/>
          <w:sz w:val="24"/>
          <w:szCs w:val="24"/>
        </w:rPr>
        <w:t>Questão 28.:</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Tendo em vista a emissão de um parecer para um cliente, o economista Ernesto Silva</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recorreu ao serviços de um advogado, António Fagundes. Ambos estão colectados em IRS</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pelo exercício das suas actividades em regime livre, estando o economista no regime</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simplificado e o advogado no regime da contabilidade organizada.</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Em sede de IRS, relativamente ao pagamento de honorários que o primeiro fez ao segundo:</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 Há lugar a retenção na fonte à taxa de 10%.</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b) Há lugar a retenção na fonte à taxa de 15%.</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c) Há lugar a retenção na fonte à taxa de 20%.</w:t>
      </w:r>
    </w:p>
    <w:p w:rsidR="00A80259"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d) Não há lugar a retenção na fonte.</w:t>
      </w:r>
    </w:p>
    <w:p w:rsid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IRS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Devemos aqui começar por referir que o CIRS prevê, para alguns tipos de rendimentos, a sua sujeição a retenção na fonte. Este mecanismo da retenção na fonte consiste numa tributação “adiantada” sobre determinado tipo de rendimentos, assente na figura da substituição tributária pela qual se impõe à entidade pagadora de determinado tipo de rendimentos a obrigação de reter um montante a título de pagamento do imposto e a sua entrega ao Estado, em substituição do sujeito passivo da obrigação principal do imposto.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A retenção na fonte é efectuada, quando devida, pela entidade pagadora dos rendimentos, estabelecendo-se como regra que esta obrigação apenas recai sobre entidades que disponham ou sejam obrigadas a dispor de contabilidade organizada.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O Sr. António Fagundes é advogado por conta própria (código 6010 da Portaria n.º 1011/2001, de 21 de Agosto e art. 151º do CIRS) pelo que os seus rendimentos, prestações de serviços, integram a Categoria B – Rendimentos Empresariais e Profissionais (al. b), n.º 1 do art. 3º), estando sujeitos a retenção na fonte à taxa de 20%, nos termos do art. 101º, n.º 1 al. b) e art. 8º, n.º 1 do DL 42/91, de 22/1.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No entanto, e de acordo com as mesmas disposições citadas na parte final do parágrafo anterior, a retenção na fonte, que tem que  ser efectuada por quem paga o rendimento (neste caso, o pagamento é </w:t>
      </w:r>
      <w:r w:rsidRPr="005C173A">
        <w:rPr>
          <w:rFonts w:ascii="Times New Roman" w:hAnsi="Times New Roman" w:cs="Times New Roman"/>
          <w:sz w:val="24"/>
          <w:szCs w:val="24"/>
        </w:rPr>
        <w:lastRenderedPageBreak/>
        <w:t xml:space="preserve">efectuado pelo economista Ernesto Silva), só é devida se a entidade pagadora dispuser ou for obrigada a dispor de contabilidade organizada. </w:t>
      </w:r>
    </w:p>
    <w:p w:rsid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De acordo com o enunciado, a entidade pagadora desta situação (Sr. Ernesto Silva) está enquadrado para efeitos fiscais no regime simplificado de tributação.</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Dispõe o art. 117º do CIRS que os titulares de rendimentos da categoria B que não estejam abrangidos pelo regime simplificado de tributação são obrigados a dispor de contabilidade organizada, nos termos da lei comercial e fiscal, que permita o controlo do rendimento apurado. Ora, daqui retiramos que, para efeitos fiscais, quem aufere aquele tipo de rendimentos e esteja abrangido pelo regime simplificado de tributação não está obrigado a dispor de contabilidade organizada. No entanto, o facto de não estar obrigada não significa que esteja impedido. Ou seja, mesmo estando enquadrado no regime simplificado para efeitos fiscais, o Sr. Ernesto Silva pode, opcionalmente, dispor de contabilidade organizada para efeitos da sua gestão comercial. </w:t>
      </w:r>
    </w:p>
    <w:p w:rsid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Assim, consideramos que o enunciado desta questão não fornece todos os elementos necessários para concluirmos, sem qualquer dúvida, de qual a resposta correcta à questão colocada.</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Se assumirmos que o Sr. Ernesto Silva, estando enquadrado no regime simplificado, não dispõe de contabilidade organizada (o que acreditamos ser a situação mais corrente), </w:t>
      </w:r>
      <w:r w:rsidRPr="007F4E86">
        <w:rPr>
          <w:rFonts w:ascii="Times New Roman" w:hAnsi="Times New Roman" w:cs="Times New Roman"/>
          <w:b/>
          <w:i/>
          <w:sz w:val="24"/>
          <w:szCs w:val="24"/>
        </w:rPr>
        <w:t>então a resposta correcta será a opção d).</w:t>
      </w:r>
      <w:r w:rsidRPr="005C173A">
        <w:rPr>
          <w:rFonts w:ascii="Times New Roman" w:hAnsi="Times New Roman" w:cs="Times New Roman"/>
          <w:sz w:val="24"/>
          <w:szCs w:val="24"/>
        </w:rPr>
        <w:t xml:space="preserve"> </w:t>
      </w:r>
    </w:p>
    <w:p w:rsidR="005C173A" w:rsidRPr="007F4E86" w:rsidRDefault="005C173A" w:rsidP="007F4E86">
      <w:pPr>
        <w:autoSpaceDE w:val="0"/>
        <w:autoSpaceDN w:val="0"/>
        <w:adjustRightInd w:val="0"/>
        <w:spacing w:after="0" w:line="240" w:lineRule="auto"/>
        <w:ind w:left="284"/>
        <w:jc w:val="both"/>
        <w:rPr>
          <w:rFonts w:ascii="Times New Roman" w:hAnsi="Times New Roman" w:cs="Times New Roman"/>
          <w:b/>
          <w:i/>
          <w:sz w:val="24"/>
          <w:szCs w:val="24"/>
        </w:rPr>
      </w:pPr>
      <w:r w:rsidRPr="005C173A">
        <w:rPr>
          <w:rFonts w:ascii="Times New Roman" w:hAnsi="Times New Roman" w:cs="Times New Roman"/>
          <w:sz w:val="24"/>
          <w:szCs w:val="24"/>
        </w:rPr>
        <w:t xml:space="preserve">No entanto, se assumirmos que o Sr. Ernesto Silva opcionalmente dispõe de contabilidade organizada, a </w:t>
      </w:r>
      <w:r w:rsidRPr="007F4E86">
        <w:rPr>
          <w:rFonts w:ascii="Times New Roman" w:hAnsi="Times New Roman" w:cs="Times New Roman"/>
          <w:b/>
          <w:i/>
          <w:sz w:val="24"/>
          <w:szCs w:val="24"/>
        </w:rPr>
        <w:t>opção correcta será a c).</w:t>
      </w:r>
    </w:p>
    <w:p w:rsidR="007E3BAD" w:rsidRPr="00AC4D45" w:rsidRDefault="007E3BAD" w:rsidP="007F4E86">
      <w:pPr>
        <w:autoSpaceDE w:val="0"/>
        <w:autoSpaceDN w:val="0"/>
        <w:adjustRightInd w:val="0"/>
        <w:spacing w:after="0" w:line="240" w:lineRule="auto"/>
        <w:ind w:left="284"/>
        <w:jc w:val="both"/>
        <w:rPr>
          <w:rFonts w:ascii="Times New Roman" w:hAnsi="Times New Roman" w:cs="Times New Roman"/>
          <w:sz w:val="24"/>
          <w:szCs w:val="24"/>
        </w:rPr>
      </w:pP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b/>
          <w:bCs/>
          <w:sz w:val="24"/>
          <w:szCs w:val="24"/>
        </w:rPr>
      </w:pPr>
      <w:r w:rsidRPr="00AC4D45">
        <w:rPr>
          <w:rFonts w:ascii="Times New Roman" w:hAnsi="Times New Roman" w:cs="Times New Roman"/>
          <w:b/>
          <w:bCs/>
          <w:sz w:val="24"/>
          <w:szCs w:val="24"/>
        </w:rPr>
        <w:t>Questão 29.:</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Um arquitecto que tem estado integrado no regime simplificado de tributação prestou</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serviços durante o ano de 2008 no montante de € 60.000, tendo incorrido em despesas</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(fornecimentos e serviços externos, impostos e custos com o pessoal) no montante de €</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25.000.</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Além disso, vendeu por € 15.000 uma viatura que estava afecta ao seu uso profissional.</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Essa viatura tinha sido adquirida em 2006 por € 18.000 e o seu valor para efeitos fiscais era,</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na data da venda, de € 13.500 (nos termos do n.º 9 do artigo 31.º do Código do IRS).</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O rendimento tributável da categoria B deste arquitecto no ano de 2008 será de:</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 € 36.500.</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b) € 42.000.</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c) € 43.050.</w:t>
      </w:r>
    </w:p>
    <w:p w:rsidR="00A80259"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d) € 45.000.</w:t>
      </w:r>
    </w:p>
    <w:p w:rsidR="007E3BAD" w:rsidRDefault="007E3BAD" w:rsidP="007F4E86">
      <w:pPr>
        <w:autoSpaceDE w:val="0"/>
        <w:autoSpaceDN w:val="0"/>
        <w:adjustRightInd w:val="0"/>
        <w:spacing w:after="0" w:line="240" w:lineRule="auto"/>
        <w:ind w:left="284"/>
        <w:jc w:val="both"/>
        <w:rPr>
          <w:rFonts w:ascii="Times New Roman" w:hAnsi="Times New Roman" w:cs="Times New Roman"/>
          <w:sz w:val="24"/>
          <w:szCs w:val="24"/>
        </w:rPr>
      </w:pP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IRS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De acordo com o art. 31º CIRS, o rendimento líquido da categoria B a englobar pelos sujeitos passivos abrangidos pelo regime simplificado, como é o caso, determina-se pela aplicação, ao rendimento bruto, de indicadores de base científica e técnica determinados para os diferentes sectores de actividade (princípio geral). Verifica-se, no entanto, que estes indicadores ainda não foram aprovados pelo que, até lá, e conforme dispõe o n.º 2 do referido artigo, subsidiariamente, o rendimento tributável será determinado por aplicação dos seguintes coeficientes: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 0,20 a aplicar ao valor das vendas de mercadorias ou produtos (excluindo a variação da produção) (n.º 2 art. 31º); </w:t>
      </w:r>
      <w:r w:rsidRPr="005C173A">
        <w:rPr>
          <w:rFonts w:ascii="Times New Roman" w:hAnsi="Times New Roman" w:cs="Times New Roman"/>
          <w:sz w:val="24"/>
          <w:szCs w:val="24"/>
        </w:rPr>
        <w:t xml:space="preserve"> 0,70 sobre prestações de serviços em geral e sobre os restantes rendimentos da categoria B.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Neste caso temos os seguintes rendimento: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  Prestações de serviços = € 60.000;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  Mais-valia decorrente da alienação da viatura, resultante da diferença entre o valor de realização (€ 15.000) e o valor fiscal da viatura à data da venda (€ 13.500) =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€15.000 - € 13.500 = € 1.500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Assim, o rendimento líquido da categoria B a englobar pelo sujeito passivo, no caso descrito, foi de 60.000 x 0,70 + 1.500 x 0,7 = € 43.050. </w:t>
      </w:r>
    </w:p>
    <w:p w:rsidR="005C173A" w:rsidRPr="007F4E86" w:rsidRDefault="005C173A" w:rsidP="007F4E86">
      <w:pPr>
        <w:autoSpaceDE w:val="0"/>
        <w:autoSpaceDN w:val="0"/>
        <w:adjustRightInd w:val="0"/>
        <w:spacing w:after="0" w:line="240" w:lineRule="auto"/>
        <w:ind w:left="284"/>
        <w:jc w:val="both"/>
        <w:rPr>
          <w:rFonts w:ascii="Times New Roman" w:hAnsi="Times New Roman" w:cs="Times New Roman"/>
          <w:b/>
          <w:i/>
          <w:sz w:val="24"/>
          <w:szCs w:val="24"/>
        </w:rPr>
      </w:pPr>
      <w:r w:rsidRPr="007F4E86">
        <w:rPr>
          <w:rFonts w:ascii="Times New Roman" w:hAnsi="Times New Roman" w:cs="Times New Roman"/>
          <w:b/>
          <w:i/>
          <w:sz w:val="24"/>
          <w:szCs w:val="24"/>
        </w:rPr>
        <w:t xml:space="preserve">Logo, a resposta correcta é: c) </w:t>
      </w:r>
    </w:p>
    <w:p w:rsidR="007F4E86" w:rsidRPr="005C173A" w:rsidRDefault="007F4E86" w:rsidP="007F4E86">
      <w:pPr>
        <w:autoSpaceDE w:val="0"/>
        <w:autoSpaceDN w:val="0"/>
        <w:adjustRightInd w:val="0"/>
        <w:spacing w:after="0" w:line="240" w:lineRule="auto"/>
        <w:ind w:left="284"/>
        <w:jc w:val="both"/>
        <w:rPr>
          <w:rFonts w:ascii="Times New Roman" w:hAnsi="Times New Roman" w:cs="Times New Roman"/>
          <w:sz w:val="24"/>
          <w:szCs w:val="24"/>
        </w:rPr>
      </w:pP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lastRenderedPageBreak/>
        <w:t xml:space="preserve">NOTA: apesar de, neste caso, ser dado o valor fiscal da viatura e, como tal, não ter que ser calculado, tal valor resulta do seguinte cálculo: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Valor de aquisição deduzido das amortizações acumuladas correspondentes à aplicação da taxa mínima de amortização, conforme decorre do n.º 9 do art. 31º do CIRS.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Assim, como a taxa máxima de amortização das viaturas ligeiras de passageiros é de 25% - Código 2375 da tabela II do DR 2/90 -, a respectiva taxa mínima corresponde a metade (ou seja, 12,5%), pelo que a amortização anual foi de € 18.000 x 12,5% = € 2.250. </w:t>
      </w:r>
    </w:p>
    <w:p w:rsidR="005C173A" w:rsidRPr="005C173A"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Assim, as amortizações acumuladas = € 2.250 x 2 anos (2006 e 2007) = € 4.500; valor fiscal = € 18.000 - € 4.500 = € 13.500 – valor dado no enunciado. </w:t>
      </w:r>
    </w:p>
    <w:p w:rsidR="005C173A" w:rsidRPr="00AC4D45" w:rsidRDefault="005C173A" w:rsidP="007F4E86">
      <w:pPr>
        <w:autoSpaceDE w:val="0"/>
        <w:autoSpaceDN w:val="0"/>
        <w:adjustRightInd w:val="0"/>
        <w:spacing w:after="0" w:line="240" w:lineRule="auto"/>
        <w:ind w:left="284"/>
        <w:jc w:val="both"/>
        <w:rPr>
          <w:rFonts w:ascii="Times New Roman" w:hAnsi="Times New Roman" w:cs="Times New Roman"/>
          <w:sz w:val="24"/>
          <w:szCs w:val="24"/>
        </w:rPr>
      </w:pP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b/>
          <w:bCs/>
          <w:sz w:val="24"/>
          <w:szCs w:val="24"/>
        </w:rPr>
      </w:pPr>
      <w:r w:rsidRPr="00AC4D45">
        <w:rPr>
          <w:rFonts w:ascii="Times New Roman" w:hAnsi="Times New Roman" w:cs="Times New Roman"/>
          <w:b/>
          <w:bCs/>
          <w:sz w:val="24"/>
          <w:szCs w:val="24"/>
        </w:rPr>
        <w:t>Questão 30.:</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Para efeitos de tributação em IRS, as indemnizações por despedimento de um trabalhador</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podem constituir:</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 Rendimentos do trabalho dependente.</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b) Rendimentos de pensões.</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c) Incrementos patrimoniais.</w:t>
      </w:r>
    </w:p>
    <w:p w:rsidR="00A80259" w:rsidRDefault="00A80259" w:rsidP="007F4E86">
      <w:pPr>
        <w:spacing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d) Rendimentos empresariais e profissionais.</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IRS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O art. 2º do CIRS define a base de tributação, em IRS, dos rendimentos do trabalho dependente (Categoria A) resultando estes, em geral, da existência de uma relação jurídica sustentada num contrato de trabalho, ou seja, a tributação no âmbito desta categoria de rendimentos é essencialmente baseada na existência de uma remuneração proveniente do</w:t>
      </w:r>
      <w:r w:rsidR="007F4E86">
        <w:rPr>
          <w:rFonts w:ascii="Times New Roman" w:hAnsi="Times New Roman" w:cs="Times New Roman"/>
          <w:sz w:val="24"/>
          <w:szCs w:val="24"/>
        </w:rPr>
        <w:t xml:space="preserve"> </w:t>
      </w:r>
      <w:r w:rsidRPr="005C173A">
        <w:rPr>
          <w:rFonts w:ascii="Times New Roman" w:hAnsi="Times New Roman" w:cs="Times New Roman"/>
          <w:sz w:val="24"/>
          <w:szCs w:val="24"/>
        </w:rPr>
        <w:t xml:space="preserve">trabalho por conta de outrem, embora compreenda também outras realidades. Como resulta do art. 11º do Código do Trabalho (CT), aprovado pela Lei n.º7/2009 de12 de Fevereiro: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«contrato de trabalho é aquele pelo qual uma pessoa singular se obriga, mediante retribuição, a prestar a sua actividade a outra ou outras pessoas, no âmbito de organização e sob a autoridade destas». </w:t>
      </w:r>
      <w:r w:rsidR="007F4E86">
        <w:rPr>
          <w:rFonts w:ascii="Times New Roman" w:hAnsi="Times New Roman" w:cs="Times New Roman"/>
          <w:sz w:val="24"/>
          <w:szCs w:val="24"/>
        </w:rPr>
        <w:t xml:space="preserve">De acordo </w:t>
      </w:r>
      <w:r w:rsidRPr="005C173A">
        <w:rPr>
          <w:rFonts w:ascii="Times New Roman" w:hAnsi="Times New Roman" w:cs="Times New Roman"/>
          <w:sz w:val="24"/>
          <w:szCs w:val="24"/>
        </w:rPr>
        <w:t xml:space="preserve">com a al. e) do n.º 3 do art. 2º do CIRS, constituem rendimento da categoria A as importâncias auferidas, ainda que a título de indemnização, pela mudança de local de trabalho e, ainda, as que resultem da constituição, extinção ou modificação da relação jurídica que origine remunerações de trabalho ou de incumprimento das condições contratuais.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No n.º 4 do art. 2º está prevista a sujeição a tributação no âmbito da categoria A de IRS das importâncias recebidas e emergentes da cessação, por qualquer forma – convencional ou judicial -, dos contratos de trabalho (indemnização).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No entanto, estas importâncias só estarão sujeitas na parte em que excedam o valor correspondente a uma vez e meia o valor médio das remunerações regulares com carácter de retribuição sujeitas a imposto, auferidas nos últimos 12 meses, multiplicado pelo número de anos ou fracção de antiguidade ou de exercício de funções na entidade pagadora da indemnização.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No art. 3º do CIRS (n.º 2 al. d) está também prevista a tributação de algumas indemnizações, as apenas as que seja conexas com uma actividade exercida por conta própria (rendimentos empresariais e profissionais – categoria B de rendimentos).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Na base de tributação das pensões (categoria H – art. 11º do CIRS) não se encontra prevista a tributação de quaisquer indemnizações. </w:t>
      </w:r>
    </w:p>
    <w:p w:rsidR="007F4E86"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Quanto aos incrementos patrimoniais (art. 9º do CIRS) também aí se sujeitam a IRS algumas indemnizações (n.º 1 </w:t>
      </w:r>
      <w:proofErr w:type="spellStart"/>
      <w:r w:rsidRPr="005C173A">
        <w:rPr>
          <w:rFonts w:ascii="Times New Roman" w:hAnsi="Times New Roman" w:cs="Times New Roman"/>
          <w:sz w:val="24"/>
          <w:szCs w:val="24"/>
        </w:rPr>
        <w:t>als</w:t>
      </w:r>
      <w:proofErr w:type="spellEnd"/>
      <w:r w:rsidRPr="005C173A">
        <w:rPr>
          <w:rFonts w:ascii="Times New Roman" w:hAnsi="Times New Roman" w:cs="Times New Roman"/>
          <w:sz w:val="24"/>
          <w:szCs w:val="24"/>
        </w:rPr>
        <w:t xml:space="preserve">. B) e c)) mas em nenhum caso as que digam respeito ao despedimento de um trabalhador.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lastRenderedPageBreak/>
        <w:t xml:space="preserve">Assim, a tributação das indemnizações resultantes do despedimento de um trabalhador caem </w:t>
      </w:r>
      <w:r w:rsidR="007F4E86">
        <w:rPr>
          <w:rFonts w:ascii="Times New Roman" w:hAnsi="Times New Roman" w:cs="Times New Roman"/>
          <w:sz w:val="24"/>
          <w:szCs w:val="24"/>
        </w:rPr>
        <w:t xml:space="preserve"> </w:t>
      </w:r>
      <w:r w:rsidRPr="005C173A">
        <w:rPr>
          <w:rFonts w:ascii="Times New Roman" w:hAnsi="Times New Roman" w:cs="Times New Roman"/>
          <w:sz w:val="24"/>
          <w:szCs w:val="24"/>
        </w:rPr>
        <w:t xml:space="preserve">na norma de incidência real da Categoria A – rendimento do trabalho dependente, podendo ficar excluídas de tributação quando o seu valor não ultrapasse determinado montante. </w:t>
      </w:r>
    </w:p>
    <w:p w:rsidR="005C173A" w:rsidRPr="007F4E86" w:rsidRDefault="005C173A" w:rsidP="007F4E86">
      <w:pPr>
        <w:spacing w:line="240" w:lineRule="auto"/>
        <w:ind w:left="284"/>
        <w:jc w:val="both"/>
        <w:rPr>
          <w:rFonts w:ascii="Times New Roman" w:hAnsi="Times New Roman" w:cs="Times New Roman"/>
          <w:b/>
          <w:i/>
          <w:sz w:val="24"/>
          <w:szCs w:val="24"/>
        </w:rPr>
      </w:pPr>
      <w:r w:rsidRPr="007F4E86">
        <w:rPr>
          <w:rFonts w:ascii="Times New Roman" w:hAnsi="Times New Roman" w:cs="Times New Roman"/>
          <w:b/>
          <w:i/>
          <w:sz w:val="24"/>
          <w:szCs w:val="24"/>
        </w:rPr>
        <w:t>Logo, a resposta correcta é: a)</w:t>
      </w:r>
    </w:p>
    <w:p w:rsidR="005C173A" w:rsidRDefault="005C173A" w:rsidP="007F4E86">
      <w:pPr>
        <w:spacing w:line="240" w:lineRule="auto"/>
        <w:ind w:left="284"/>
        <w:jc w:val="both"/>
        <w:rPr>
          <w:rFonts w:ascii="Times New Roman" w:hAnsi="Times New Roman" w:cs="Times New Roman"/>
          <w:sz w:val="24"/>
          <w:szCs w:val="24"/>
        </w:rPr>
      </w:pP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b/>
          <w:bCs/>
          <w:sz w:val="24"/>
          <w:szCs w:val="24"/>
        </w:rPr>
      </w:pPr>
      <w:r w:rsidRPr="00AC4D45">
        <w:rPr>
          <w:rFonts w:ascii="Times New Roman" w:hAnsi="Times New Roman" w:cs="Times New Roman"/>
          <w:b/>
          <w:bCs/>
          <w:sz w:val="24"/>
          <w:szCs w:val="24"/>
        </w:rPr>
        <w:t>Questão 31.:</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O Sr. Álvaro Silva vendeu, em 2010, a sua quota, que detinha há cerca de quatro anos no</w:t>
      </w:r>
      <w:r w:rsidR="007E3BAD">
        <w:rPr>
          <w:rFonts w:ascii="Times New Roman" w:hAnsi="Times New Roman" w:cs="Times New Roman"/>
          <w:sz w:val="24"/>
          <w:szCs w:val="24"/>
        </w:rPr>
        <w:t xml:space="preserve"> </w:t>
      </w:r>
      <w:r w:rsidRPr="00AC4D45">
        <w:rPr>
          <w:rFonts w:ascii="Times New Roman" w:hAnsi="Times New Roman" w:cs="Times New Roman"/>
          <w:sz w:val="24"/>
          <w:szCs w:val="24"/>
        </w:rPr>
        <w:t>capital da Sociedade de Construções Alfa, Lda.</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a) Pode haver tributação em IMT e em IRS.</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b) Pode haver tributação em IMT, mas nunca em IRS.</w:t>
      </w:r>
    </w:p>
    <w:p w:rsidR="00A80259" w:rsidRPr="00AC4D45" w:rsidRDefault="00A80259" w:rsidP="007F4E86">
      <w:pPr>
        <w:autoSpaceDE w:val="0"/>
        <w:autoSpaceDN w:val="0"/>
        <w:adjustRightInd w:val="0"/>
        <w:spacing w:after="0"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c) Pode haver tributação em IRS, mas nunca em IMT.</w:t>
      </w:r>
    </w:p>
    <w:p w:rsidR="00A80259" w:rsidRDefault="00A80259" w:rsidP="007F4E86">
      <w:pPr>
        <w:spacing w:line="240" w:lineRule="auto"/>
        <w:ind w:left="284"/>
        <w:jc w:val="both"/>
        <w:rPr>
          <w:rFonts w:ascii="Times New Roman" w:hAnsi="Times New Roman" w:cs="Times New Roman"/>
          <w:sz w:val="24"/>
          <w:szCs w:val="24"/>
        </w:rPr>
      </w:pPr>
      <w:r w:rsidRPr="00AC4D45">
        <w:rPr>
          <w:rFonts w:ascii="Times New Roman" w:hAnsi="Times New Roman" w:cs="Times New Roman"/>
          <w:sz w:val="24"/>
          <w:szCs w:val="24"/>
        </w:rPr>
        <w:t>d) A transacção nunca está sujeita a IRS, nem a IMT.</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IRS / IMT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De acordo com o art. 2º, n.º 2 al. d), 1ª parte, do CIMT, há sujeição a IMT pela aquisição de partes sociais ou de quotas nas sociedades em nome colectivo, em comandita simples ou por quotas, quando tais sociedades possuam bens imóveis, e quando por aquela aquisição, por amortização ou quaisquer outros factos, algum dos sócios fique a dispor de, pelo menos, 75% do capital social. Neste caso, será sujeito passivo de IMT o adquirente da quota que passe a dispor de, pelo menos, 75% do capital de tais sociedades. </w:t>
      </w:r>
    </w:p>
    <w:p w:rsid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No caso em concreto, está em causa uma sociedade por quotas mas desconhecemos de a mesma é ou não proprietária de imóveis, assim como desconhecemos a percentagem de participação no capital, quer do Sr. Álvaro Silva quer da pessoa que lhe tenha adquirido a quota.</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No entanto, podemos concluir que, se todos os pressupostos se verificarem, a operação pode dar lugar ao pagamento de IMT (no entanto, não será pelo Sr. Álvaro Silva mas pelo adquirente da quota).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Por outro lado, as mais-valias apuradas na alienação de participações sociais (quotas) são sujeitas a IRS nos termos do art. 9º, n.º 1 al. a) e art. 10º, n.º 1 al. b) do CIRS, sendo tributadas autonomamente à taxa especial de 10% (art. 72º, n.º 4) podendo ser englobadas por opção dos respectivos sujeitos passivos (art. 72º, n.º 6).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Neste caso, e caso na alienação seja apurada uma mais-valia, o Sr. Álvaro Silva terá que pagar IRS sobre esse ganho.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Assim, não será descabido dizer, de forma ampla, que a operação descrita pode dar lugar a tributação em IMT e em IRS. </w:t>
      </w:r>
      <w:r w:rsidRPr="007F4E86">
        <w:rPr>
          <w:rFonts w:ascii="Times New Roman" w:hAnsi="Times New Roman" w:cs="Times New Roman"/>
          <w:b/>
          <w:i/>
          <w:sz w:val="24"/>
          <w:szCs w:val="24"/>
        </w:rPr>
        <w:t>Nesse caso, a resposta correcta é: a)</w:t>
      </w:r>
      <w:r w:rsidRPr="005C173A">
        <w:rPr>
          <w:rFonts w:ascii="Times New Roman" w:hAnsi="Times New Roman" w:cs="Times New Roman"/>
          <w:sz w:val="24"/>
          <w:szCs w:val="24"/>
        </w:rPr>
        <w:t xml:space="preserve"> </w:t>
      </w:r>
    </w:p>
    <w:p w:rsidR="005C173A" w:rsidRPr="005C173A"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 xml:space="preserve"> </w:t>
      </w:r>
    </w:p>
    <w:p w:rsidR="005C173A" w:rsidRPr="00AC4D45" w:rsidRDefault="005C173A" w:rsidP="007F4E86">
      <w:pPr>
        <w:spacing w:line="240" w:lineRule="auto"/>
        <w:ind w:left="284"/>
        <w:jc w:val="both"/>
        <w:rPr>
          <w:rFonts w:ascii="Times New Roman" w:hAnsi="Times New Roman" w:cs="Times New Roman"/>
          <w:sz w:val="24"/>
          <w:szCs w:val="24"/>
        </w:rPr>
      </w:pPr>
      <w:r w:rsidRPr="005C173A">
        <w:rPr>
          <w:rFonts w:ascii="Times New Roman" w:hAnsi="Times New Roman" w:cs="Times New Roman"/>
          <w:sz w:val="24"/>
          <w:szCs w:val="24"/>
        </w:rPr>
        <w:t>Não podemos, no entanto, deixar de notar que a questão nos parece colocado de forma demasiadamente ampla e abstracta que pode induzir em alguma indecisão na escolha da resposta correcta. Isto porque a questão parece estar a ser colocada na esfera do Sr. Álvaro Silva e, para este, a alienação da quota não dará lugar a tributação em IMT mas apenas em IRS.</w:t>
      </w:r>
    </w:p>
    <w:sectPr w:rsidR="005C173A" w:rsidRPr="00AC4D45" w:rsidSect="002F369D">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4FA7" w:rsidRDefault="004B4FA7" w:rsidP="004B4FA7">
      <w:pPr>
        <w:spacing w:after="0" w:line="240" w:lineRule="auto"/>
      </w:pPr>
      <w:r>
        <w:separator/>
      </w:r>
    </w:p>
  </w:endnote>
  <w:endnote w:type="continuationSeparator" w:id="1">
    <w:p w:rsidR="004B4FA7" w:rsidRDefault="004B4FA7" w:rsidP="004B4F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65469"/>
      <w:docPartObj>
        <w:docPartGallery w:val="Page Numbers (Bottom of Page)"/>
        <w:docPartUnique/>
      </w:docPartObj>
    </w:sdtPr>
    <w:sdtContent>
      <w:sdt>
        <w:sdtPr>
          <w:id w:val="1389081747"/>
          <w:docPartObj>
            <w:docPartGallery w:val="Page Numbers (Top of Page)"/>
            <w:docPartUnique/>
          </w:docPartObj>
        </w:sdtPr>
        <w:sdtContent>
          <w:p w:rsidR="004B4FA7" w:rsidRDefault="004B4FA7">
            <w:pPr>
              <w:pStyle w:val="Rodap"/>
              <w:jc w:val="right"/>
            </w:pPr>
            <w:r w:rsidRPr="004B4FA7">
              <w:rPr>
                <w:sz w:val="16"/>
                <w:szCs w:val="16"/>
              </w:rPr>
              <w:t xml:space="preserve">Página </w:t>
            </w:r>
            <w:r w:rsidR="00FB7C28" w:rsidRPr="004B4FA7">
              <w:rPr>
                <w:b/>
                <w:sz w:val="16"/>
                <w:szCs w:val="16"/>
              </w:rPr>
              <w:fldChar w:fldCharType="begin"/>
            </w:r>
            <w:r w:rsidRPr="004B4FA7">
              <w:rPr>
                <w:b/>
                <w:sz w:val="16"/>
                <w:szCs w:val="16"/>
              </w:rPr>
              <w:instrText>PAGE</w:instrText>
            </w:r>
            <w:r w:rsidR="00FB7C28" w:rsidRPr="004B4FA7">
              <w:rPr>
                <w:b/>
                <w:sz w:val="16"/>
                <w:szCs w:val="16"/>
              </w:rPr>
              <w:fldChar w:fldCharType="separate"/>
            </w:r>
            <w:r w:rsidR="007F4E86">
              <w:rPr>
                <w:b/>
                <w:noProof/>
                <w:sz w:val="16"/>
                <w:szCs w:val="16"/>
              </w:rPr>
              <w:t>5</w:t>
            </w:r>
            <w:r w:rsidR="00FB7C28" w:rsidRPr="004B4FA7">
              <w:rPr>
                <w:b/>
                <w:sz w:val="16"/>
                <w:szCs w:val="16"/>
              </w:rPr>
              <w:fldChar w:fldCharType="end"/>
            </w:r>
            <w:r w:rsidRPr="004B4FA7">
              <w:rPr>
                <w:sz w:val="16"/>
                <w:szCs w:val="16"/>
              </w:rPr>
              <w:t xml:space="preserve"> de </w:t>
            </w:r>
            <w:r w:rsidR="00FB7C28" w:rsidRPr="004B4FA7">
              <w:rPr>
                <w:b/>
                <w:sz w:val="16"/>
                <w:szCs w:val="16"/>
              </w:rPr>
              <w:fldChar w:fldCharType="begin"/>
            </w:r>
            <w:r w:rsidRPr="004B4FA7">
              <w:rPr>
                <w:b/>
                <w:sz w:val="16"/>
                <w:szCs w:val="16"/>
              </w:rPr>
              <w:instrText>NUMPAGES</w:instrText>
            </w:r>
            <w:r w:rsidR="00FB7C28" w:rsidRPr="004B4FA7">
              <w:rPr>
                <w:b/>
                <w:sz w:val="16"/>
                <w:szCs w:val="16"/>
              </w:rPr>
              <w:fldChar w:fldCharType="separate"/>
            </w:r>
            <w:r w:rsidR="007F4E86">
              <w:rPr>
                <w:b/>
                <w:noProof/>
                <w:sz w:val="16"/>
                <w:szCs w:val="16"/>
              </w:rPr>
              <w:t>5</w:t>
            </w:r>
            <w:r w:rsidR="00FB7C28" w:rsidRPr="004B4FA7">
              <w:rPr>
                <w:b/>
                <w:sz w:val="16"/>
                <w:szCs w:val="16"/>
              </w:rPr>
              <w:fldChar w:fldCharType="end"/>
            </w:r>
          </w:p>
        </w:sdtContent>
      </w:sdt>
    </w:sdtContent>
  </w:sdt>
  <w:p w:rsidR="004B4FA7" w:rsidRDefault="004B4FA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4FA7" w:rsidRDefault="004B4FA7" w:rsidP="004B4FA7">
      <w:pPr>
        <w:spacing w:after="0" w:line="240" w:lineRule="auto"/>
      </w:pPr>
      <w:r>
        <w:separator/>
      </w:r>
    </w:p>
  </w:footnote>
  <w:footnote w:type="continuationSeparator" w:id="1">
    <w:p w:rsidR="004B4FA7" w:rsidRDefault="004B4FA7" w:rsidP="004B4F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FA7" w:rsidRPr="00AC4D45" w:rsidRDefault="004B4FA7" w:rsidP="004B4FA7">
    <w:pPr>
      <w:autoSpaceDE w:val="0"/>
      <w:autoSpaceDN w:val="0"/>
      <w:adjustRightInd w:val="0"/>
      <w:spacing w:after="0" w:line="240" w:lineRule="auto"/>
      <w:jc w:val="center"/>
      <w:rPr>
        <w:rFonts w:ascii="Times New Roman" w:hAnsi="Times New Roman" w:cs="Times New Roman"/>
        <w:b/>
        <w:bCs/>
        <w:sz w:val="24"/>
        <w:szCs w:val="24"/>
      </w:rPr>
    </w:pPr>
    <w:r w:rsidRPr="00AC4D45">
      <w:rPr>
        <w:rFonts w:ascii="Times New Roman" w:hAnsi="Times New Roman" w:cs="Times New Roman"/>
        <w:b/>
        <w:bCs/>
        <w:sz w:val="24"/>
        <w:szCs w:val="24"/>
      </w:rPr>
      <w:t>QUESTÕES DE FISCALIDADE</w:t>
    </w:r>
    <w:r>
      <w:rPr>
        <w:rFonts w:ascii="Times New Roman" w:hAnsi="Times New Roman" w:cs="Times New Roman"/>
        <w:b/>
        <w:bCs/>
        <w:sz w:val="24"/>
        <w:szCs w:val="24"/>
      </w:rPr>
      <w:t xml:space="preserve"> – OTOC</w:t>
    </w:r>
  </w:p>
  <w:p w:rsidR="004B4FA7" w:rsidRDefault="004B4FA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0EF575E"/>
    <w:multiLevelType w:val="hybridMultilevel"/>
    <w:tmpl w:val="252C58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D3ABE3"/>
    <w:multiLevelType w:val="hybridMultilevel"/>
    <w:tmpl w:val="9137E0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2D50B44F"/>
    <w:multiLevelType w:val="hybridMultilevel"/>
    <w:tmpl w:val="CC34D11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6322DB"/>
    <w:rsid w:val="00012997"/>
    <w:rsid w:val="00013F3A"/>
    <w:rsid w:val="00032508"/>
    <w:rsid w:val="00044F55"/>
    <w:rsid w:val="00047C77"/>
    <w:rsid w:val="0005139B"/>
    <w:rsid w:val="0006639B"/>
    <w:rsid w:val="00086062"/>
    <w:rsid w:val="00087B02"/>
    <w:rsid w:val="000901C8"/>
    <w:rsid w:val="00091771"/>
    <w:rsid w:val="000D2AB8"/>
    <w:rsid w:val="000D456B"/>
    <w:rsid w:val="000D4988"/>
    <w:rsid w:val="000D742A"/>
    <w:rsid w:val="000E3930"/>
    <w:rsid w:val="000F3302"/>
    <w:rsid w:val="001013F1"/>
    <w:rsid w:val="001178FC"/>
    <w:rsid w:val="00117C6C"/>
    <w:rsid w:val="00122C5D"/>
    <w:rsid w:val="00130557"/>
    <w:rsid w:val="001344E8"/>
    <w:rsid w:val="00134788"/>
    <w:rsid w:val="00147C78"/>
    <w:rsid w:val="00152A04"/>
    <w:rsid w:val="0015634A"/>
    <w:rsid w:val="00156941"/>
    <w:rsid w:val="00163422"/>
    <w:rsid w:val="001869E1"/>
    <w:rsid w:val="00190ED0"/>
    <w:rsid w:val="00193719"/>
    <w:rsid w:val="00197105"/>
    <w:rsid w:val="001A403D"/>
    <w:rsid w:val="001A6141"/>
    <w:rsid w:val="001B512C"/>
    <w:rsid w:val="001C75C9"/>
    <w:rsid w:val="001D1607"/>
    <w:rsid w:val="001D3598"/>
    <w:rsid w:val="001D78E3"/>
    <w:rsid w:val="001E575D"/>
    <w:rsid w:val="001E7486"/>
    <w:rsid w:val="00200251"/>
    <w:rsid w:val="00234440"/>
    <w:rsid w:val="00234C7A"/>
    <w:rsid w:val="0025471C"/>
    <w:rsid w:val="00254D07"/>
    <w:rsid w:val="00255CB5"/>
    <w:rsid w:val="002778B3"/>
    <w:rsid w:val="00280100"/>
    <w:rsid w:val="00283566"/>
    <w:rsid w:val="00286344"/>
    <w:rsid w:val="00287C92"/>
    <w:rsid w:val="002916B3"/>
    <w:rsid w:val="002A33D6"/>
    <w:rsid w:val="002B36EE"/>
    <w:rsid w:val="002C2F76"/>
    <w:rsid w:val="002C486F"/>
    <w:rsid w:val="002C57C4"/>
    <w:rsid w:val="002C72DD"/>
    <w:rsid w:val="002D01D4"/>
    <w:rsid w:val="002E0440"/>
    <w:rsid w:val="002F369D"/>
    <w:rsid w:val="002F37D7"/>
    <w:rsid w:val="003002E0"/>
    <w:rsid w:val="0030073F"/>
    <w:rsid w:val="00300964"/>
    <w:rsid w:val="0030264E"/>
    <w:rsid w:val="00305695"/>
    <w:rsid w:val="00305AFD"/>
    <w:rsid w:val="00305C60"/>
    <w:rsid w:val="00307E30"/>
    <w:rsid w:val="00316DDD"/>
    <w:rsid w:val="003242DC"/>
    <w:rsid w:val="003268E9"/>
    <w:rsid w:val="00343B15"/>
    <w:rsid w:val="0035505A"/>
    <w:rsid w:val="0036335E"/>
    <w:rsid w:val="00365D1F"/>
    <w:rsid w:val="00373D60"/>
    <w:rsid w:val="00380023"/>
    <w:rsid w:val="0038323C"/>
    <w:rsid w:val="00386F94"/>
    <w:rsid w:val="003941D9"/>
    <w:rsid w:val="003A3DF9"/>
    <w:rsid w:val="003A43CA"/>
    <w:rsid w:val="003A7569"/>
    <w:rsid w:val="003B06DB"/>
    <w:rsid w:val="003B1517"/>
    <w:rsid w:val="003B7C9E"/>
    <w:rsid w:val="003C0D18"/>
    <w:rsid w:val="003C63F1"/>
    <w:rsid w:val="003D3A37"/>
    <w:rsid w:val="003E31E8"/>
    <w:rsid w:val="003E37AD"/>
    <w:rsid w:val="003E5E0F"/>
    <w:rsid w:val="003F2079"/>
    <w:rsid w:val="00410E6A"/>
    <w:rsid w:val="0041129C"/>
    <w:rsid w:val="00430684"/>
    <w:rsid w:val="00435898"/>
    <w:rsid w:val="0043686B"/>
    <w:rsid w:val="0043752F"/>
    <w:rsid w:val="00440F90"/>
    <w:rsid w:val="00446172"/>
    <w:rsid w:val="00451D43"/>
    <w:rsid w:val="00462619"/>
    <w:rsid w:val="00473CBA"/>
    <w:rsid w:val="004834C4"/>
    <w:rsid w:val="00492457"/>
    <w:rsid w:val="004A0B1B"/>
    <w:rsid w:val="004B4FA7"/>
    <w:rsid w:val="004B51F3"/>
    <w:rsid w:val="004C028E"/>
    <w:rsid w:val="004C3624"/>
    <w:rsid w:val="004D5D73"/>
    <w:rsid w:val="004E0F53"/>
    <w:rsid w:val="004F08C9"/>
    <w:rsid w:val="004F750D"/>
    <w:rsid w:val="004F7ACF"/>
    <w:rsid w:val="00505557"/>
    <w:rsid w:val="005209C3"/>
    <w:rsid w:val="00551C08"/>
    <w:rsid w:val="005537F6"/>
    <w:rsid w:val="00577E69"/>
    <w:rsid w:val="00582AB3"/>
    <w:rsid w:val="0059274E"/>
    <w:rsid w:val="005A6395"/>
    <w:rsid w:val="005A72BB"/>
    <w:rsid w:val="005B42B8"/>
    <w:rsid w:val="005C173A"/>
    <w:rsid w:val="005D0928"/>
    <w:rsid w:val="005E5604"/>
    <w:rsid w:val="005E5F66"/>
    <w:rsid w:val="005F051A"/>
    <w:rsid w:val="005F31FD"/>
    <w:rsid w:val="006028D4"/>
    <w:rsid w:val="00605FE6"/>
    <w:rsid w:val="006134DF"/>
    <w:rsid w:val="0062278C"/>
    <w:rsid w:val="0062295E"/>
    <w:rsid w:val="006322DB"/>
    <w:rsid w:val="00636802"/>
    <w:rsid w:val="0064265E"/>
    <w:rsid w:val="00650EF8"/>
    <w:rsid w:val="00651663"/>
    <w:rsid w:val="00655D71"/>
    <w:rsid w:val="00661325"/>
    <w:rsid w:val="00662A0E"/>
    <w:rsid w:val="00663829"/>
    <w:rsid w:val="006639E0"/>
    <w:rsid w:val="006678D7"/>
    <w:rsid w:val="006750B3"/>
    <w:rsid w:val="0067762A"/>
    <w:rsid w:val="00687134"/>
    <w:rsid w:val="00694102"/>
    <w:rsid w:val="006A5C9B"/>
    <w:rsid w:val="006A6F96"/>
    <w:rsid w:val="006B3477"/>
    <w:rsid w:val="006C3A49"/>
    <w:rsid w:val="006D7B47"/>
    <w:rsid w:val="006E017D"/>
    <w:rsid w:val="006F473E"/>
    <w:rsid w:val="006F550D"/>
    <w:rsid w:val="006F693B"/>
    <w:rsid w:val="0073263A"/>
    <w:rsid w:val="00737A9D"/>
    <w:rsid w:val="00741D6E"/>
    <w:rsid w:val="007475D2"/>
    <w:rsid w:val="007548C8"/>
    <w:rsid w:val="00757CA9"/>
    <w:rsid w:val="00780C9D"/>
    <w:rsid w:val="00787D74"/>
    <w:rsid w:val="007A17D7"/>
    <w:rsid w:val="007A4292"/>
    <w:rsid w:val="007A5E1C"/>
    <w:rsid w:val="007A6FB1"/>
    <w:rsid w:val="007B2D23"/>
    <w:rsid w:val="007B3305"/>
    <w:rsid w:val="007C6CCD"/>
    <w:rsid w:val="007D25C8"/>
    <w:rsid w:val="007D51BD"/>
    <w:rsid w:val="007E3BAD"/>
    <w:rsid w:val="007E7353"/>
    <w:rsid w:val="007F3A96"/>
    <w:rsid w:val="007F4E86"/>
    <w:rsid w:val="007F7F66"/>
    <w:rsid w:val="0080225C"/>
    <w:rsid w:val="00802FB6"/>
    <w:rsid w:val="008048BE"/>
    <w:rsid w:val="00806959"/>
    <w:rsid w:val="00827604"/>
    <w:rsid w:val="00830826"/>
    <w:rsid w:val="008405C0"/>
    <w:rsid w:val="00841695"/>
    <w:rsid w:val="00852ACE"/>
    <w:rsid w:val="0085463A"/>
    <w:rsid w:val="00856313"/>
    <w:rsid w:val="00856680"/>
    <w:rsid w:val="00856E71"/>
    <w:rsid w:val="0086270B"/>
    <w:rsid w:val="00880595"/>
    <w:rsid w:val="00896320"/>
    <w:rsid w:val="008B3444"/>
    <w:rsid w:val="008C6794"/>
    <w:rsid w:val="008C7B14"/>
    <w:rsid w:val="008E7DDC"/>
    <w:rsid w:val="008F07F5"/>
    <w:rsid w:val="00900FDC"/>
    <w:rsid w:val="00902382"/>
    <w:rsid w:val="00907161"/>
    <w:rsid w:val="009078BE"/>
    <w:rsid w:val="00913888"/>
    <w:rsid w:val="00914B72"/>
    <w:rsid w:val="0092370D"/>
    <w:rsid w:val="00931E48"/>
    <w:rsid w:val="0094671F"/>
    <w:rsid w:val="009520D8"/>
    <w:rsid w:val="00954463"/>
    <w:rsid w:val="00954F73"/>
    <w:rsid w:val="0096289C"/>
    <w:rsid w:val="00964066"/>
    <w:rsid w:val="00971802"/>
    <w:rsid w:val="009811F0"/>
    <w:rsid w:val="0098207D"/>
    <w:rsid w:val="00983BC1"/>
    <w:rsid w:val="009933D1"/>
    <w:rsid w:val="009936DF"/>
    <w:rsid w:val="009A281D"/>
    <w:rsid w:val="009A75E0"/>
    <w:rsid w:val="009B5CBF"/>
    <w:rsid w:val="009D2BD8"/>
    <w:rsid w:val="009D346F"/>
    <w:rsid w:val="009D3610"/>
    <w:rsid w:val="009D7CAF"/>
    <w:rsid w:val="009E1986"/>
    <w:rsid w:val="009E4830"/>
    <w:rsid w:val="009E4A57"/>
    <w:rsid w:val="009E6B52"/>
    <w:rsid w:val="009F64F1"/>
    <w:rsid w:val="00A0532E"/>
    <w:rsid w:val="00A14C3E"/>
    <w:rsid w:val="00A14F5B"/>
    <w:rsid w:val="00A17865"/>
    <w:rsid w:val="00A21954"/>
    <w:rsid w:val="00A271E4"/>
    <w:rsid w:val="00A30285"/>
    <w:rsid w:val="00A31C0E"/>
    <w:rsid w:val="00A40001"/>
    <w:rsid w:val="00A41450"/>
    <w:rsid w:val="00A452E8"/>
    <w:rsid w:val="00A57863"/>
    <w:rsid w:val="00A57C7E"/>
    <w:rsid w:val="00A61592"/>
    <w:rsid w:val="00A62689"/>
    <w:rsid w:val="00A66E70"/>
    <w:rsid w:val="00A70D68"/>
    <w:rsid w:val="00A745D0"/>
    <w:rsid w:val="00A766F2"/>
    <w:rsid w:val="00A80259"/>
    <w:rsid w:val="00A84482"/>
    <w:rsid w:val="00A87CD7"/>
    <w:rsid w:val="00A90875"/>
    <w:rsid w:val="00A90961"/>
    <w:rsid w:val="00A9286A"/>
    <w:rsid w:val="00A95DF4"/>
    <w:rsid w:val="00A96B2E"/>
    <w:rsid w:val="00AA5D66"/>
    <w:rsid w:val="00AA63F5"/>
    <w:rsid w:val="00AA658B"/>
    <w:rsid w:val="00AB2E9C"/>
    <w:rsid w:val="00AC0267"/>
    <w:rsid w:val="00AC4CAF"/>
    <w:rsid w:val="00AC4D45"/>
    <w:rsid w:val="00AC4E11"/>
    <w:rsid w:val="00AC4F10"/>
    <w:rsid w:val="00AD7CFF"/>
    <w:rsid w:val="00AF0F7A"/>
    <w:rsid w:val="00AF1FD0"/>
    <w:rsid w:val="00AF2B55"/>
    <w:rsid w:val="00B03D19"/>
    <w:rsid w:val="00B16F89"/>
    <w:rsid w:val="00B225E4"/>
    <w:rsid w:val="00B22AB3"/>
    <w:rsid w:val="00B27B9D"/>
    <w:rsid w:val="00B313EC"/>
    <w:rsid w:val="00B3578D"/>
    <w:rsid w:val="00B417B8"/>
    <w:rsid w:val="00B41EBB"/>
    <w:rsid w:val="00B527CC"/>
    <w:rsid w:val="00B56818"/>
    <w:rsid w:val="00B6443A"/>
    <w:rsid w:val="00B7485F"/>
    <w:rsid w:val="00B7676A"/>
    <w:rsid w:val="00B85E0B"/>
    <w:rsid w:val="00B93163"/>
    <w:rsid w:val="00B933A9"/>
    <w:rsid w:val="00B97691"/>
    <w:rsid w:val="00BA2522"/>
    <w:rsid w:val="00BA39B8"/>
    <w:rsid w:val="00BA50F5"/>
    <w:rsid w:val="00BB420D"/>
    <w:rsid w:val="00BB6205"/>
    <w:rsid w:val="00BB6EE1"/>
    <w:rsid w:val="00BC72F2"/>
    <w:rsid w:val="00BD103D"/>
    <w:rsid w:val="00BE09CF"/>
    <w:rsid w:val="00BE4035"/>
    <w:rsid w:val="00BE462B"/>
    <w:rsid w:val="00BE6BD6"/>
    <w:rsid w:val="00BF383E"/>
    <w:rsid w:val="00BF6AE2"/>
    <w:rsid w:val="00C07592"/>
    <w:rsid w:val="00C1061B"/>
    <w:rsid w:val="00C1607D"/>
    <w:rsid w:val="00C217A4"/>
    <w:rsid w:val="00C2505B"/>
    <w:rsid w:val="00C2598A"/>
    <w:rsid w:val="00C360F7"/>
    <w:rsid w:val="00C424BF"/>
    <w:rsid w:val="00C51CBE"/>
    <w:rsid w:val="00C60E57"/>
    <w:rsid w:val="00C839EC"/>
    <w:rsid w:val="00CA020A"/>
    <w:rsid w:val="00CA0377"/>
    <w:rsid w:val="00CA0DEB"/>
    <w:rsid w:val="00CA3876"/>
    <w:rsid w:val="00CA399D"/>
    <w:rsid w:val="00CA5142"/>
    <w:rsid w:val="00CA7335"/>
    <w:rsid w:val="00CA75DB"/>
    <w:rsid w:val="00CB64BF"/>
    <w:rsid w:val="00CC74C1"/>
    <w:rsid w:val="00CC7FAD"/>
    <w:rsid w:val="00CD448F"/>
    <w:rsid w:val="00CD5B7A"/>
    <w:rsid w:val="00CD62CE"/>
    <w:rsid w:val="00CD6D55"/>
    <w:rsid w:val="00CD7D9E"/>
    <w:rsid w:val="00CE52C2"/>
    <w:rsid w:val="00CF4EE7"/>
    <w:rsid w:val="00CF6714"/>
    <w:rsid w:val="00D10A62"/>
    <w:rsid w:val="00D112D2"/>
    <w:rsid w:val="00D13198"/>
    <w:rsid w:val="00D161DB"/>
    <w:rsid w:val="00D2311F"/>
    <w:rsid w:val="00D23BB9"/>
    <w:rsid w:val="00D2620B"/>
    <w:rsid w:val="00D26241"/>
    <w:rsid w:val="00D35471"/>
    <w:rsid w:val="00D37E4F"/>
    <w:rsid w:val="00D47C6C"/>
    <w:rsid w:val="00D51924"/>
    <w:rsid w:val="00D52D1C"/>
    <w:rsid w:val="00D56145"/>
    <w:rsid w:val="00D56434"/>
    <w:rsid w:val="00D57C17"/>
    <w:rsid w:val="00D80A10"/>
    <w:rsid w:val="00D90E84"/>
    <w:rsid w:val="00D91800"/>
    <w:rsid w:val="00D91CC3"/>
    <w:rsid w:val="00D91D60"/>
    <w:rsid w:val="00D93CF4"/>
    <w:rsid w:val="00DA1985"/>
    <w:rsid w:val="00DB14D7"/>
    <w:rsid w:val="00DC004F"/>
    <w:rsid w:val="00DC14D3"/>
    <w:rsid w:val="00DC7BE0"/>
    <w:rsid w:val="00DD3D66"/>
    <w:rsid w:val="00DE3574"/>
    <w:rsid w:val="00DE3A9E"/>
    <w:rsid w:val="00DE6222"/>
    <w:rsid w:val="00DE7BD2"/>
    <w:rsid w:val="00DF111C"/>
    <w:rsid w:val="00E01828"/>
    <w:rsid w:val="00E0781B"/>
    <w:rsid w:val="00E10976"/>
    <w:rsid w:val="00E12BFD"/>
    <w:rsid w:val="00E15B9D"/>
    <w:rsid w:val="00E202A9"/>
    <w:rsid w:val="00E270B3"/>
    <w:rsid w:val="00E272F3"/>
    <w:rsid w:val="00E34B53"/>
    <w:rsid w:val="00E61667"/>
    <w:rsid w:val="00E61B0C"/>
    <w:rsid w:val="00E70570"/>
    <w:rsid w:val="00E71158"/>
    <w:rsid w:val="00E71BD3"/>
    <w:rsid w:val="00E75DF3"/>
    <w:rsid w:val="00E823EE"/>
    <w:rsid w:val="00E914D9"/>
    <w:rsid w:val="00E964B1"/>
    <w:rsid w:val="00EB014B"/>
    <w:rsid w:val="00EB0D77"/>
    <w:rsid w:val="00ED0081"/>
    <w:rsid w:val="00ED03B0"/>
    <w:rsid w:val="00EF635E"/>
    <w:rsid w:val="00F05E87"/>
    <w:rsid w:val="00F22867"/>
    <w:rsid w:val="00F23E06"/>
    <w:rsid w:val="00F53FA0"/>
    <w:rsid w:val="00F559A5"/>
    <w:rsid w:val="00F7432F"/>
    <w:rsid w:val="00F820AA"/>
    <w:rsid w:val="00F828CF"/>
    <w:rsid w:val="00F83A00"/>
    <w:rsid w:val="00F935B9"/>
    <w:rsid w:val="00F9674A"/>
    <w:rsid w:val="00FA72C8"/>
    <w:rsid w:val="00FA7C48"/>
    <w:rsid w:val="00FB7C28"/>
    <w:rsid w:val="00FC3515"/>
    <w:rsid w:val="00FD6E8A"/>
    <w:rsid w:val="00FE140D"/>
    <w:rsid w:val="00FE3942"/>
    <w:rsid w:val="00FE4168"/>
    <w:rsid w:val="00FE6B3F"/>
    <w:rsid w:val="00FF2B81"/>
    <w:rsid w:val="00FF3A36"/>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07D"/>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D51BD"/>
    <w:pPr>
      <w:autoSpaceDE w:val="0"/>
      <w:autoSpaceDN w:val="0"/>
      <w:adjustRightInd w:val="0"/>
      <w:spacing w:after="0" w:line="240" w:lineRule="auto"/>
    </w:pPr>
    <w:rPr>
      <w:rFonts w:ascii="Arial" w:hAnsi="Arial" w:cs="Arial"/>
      <w:color w:val="000000"/>
      <w:sz w:val="24"/>
      <w:szCs w:val="24"/>
    </w:rPr>
  </w:style>
  <w:style w:type="paragraph" w:styleId="Avanodecorpodetexto2">
    <w:name w:val="Body Text Indent 2"/>
    <w:basedOn w:val="Default"/>
    <w:next w:val="Default"/>
    <w:link w:val="Avanodecorpodetexto2Carcter"/>
    <w:uiPriority w:val="99"/>
    <w:rsid w:val="007D51BD"/>
    <w:rPr>
      <w:color w:val="auto"/>
    </w:rPr>
  </w:style>
  <w:style w:type="character" w:customStyle="1" w:styleId="Avanodecorpodetexto2Carcter">
    <w:name w:val="Avanço de corpo de texto 2 Carácter"/>
    <w:basedOn w:val="Tipodeletrapredefinidodopargrafo"/>
    <w:link w:val="Avanodecorpodetexto2"/>
    <w:uiPriority w:val="99"/>
    <w:rsid w:val="007D51BD"/>
    <w:rPr>
      <w:rFonts w:ascii="Arial" w:hAnsi="Arial" w:cs="Arial"/>
      <w:sz w:val="24"/>
      <w:szCs w:val="24"/>
    </w:rPr>
  </w:style>
  <w:style w:type="paragraph" w:styleId="Textodebalo">
    <w:name w:val="Balloon Text"/>
    <w:basedOn w:val="Normal"/>
    <w:link w:val="TextodebaloCarcter"/>
    <w:uiPriority w:val="99"/>
    <w:semiHidden/>
    <w:unhideWhenUsed/>
    <w:rsid w:val="00A80259"/>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A80259"/>
    <w:rPr>
      <w:rFonts w:ascii="Tahoma" w:hAnsi="Tahoma" w:cs="Tahoma"/>
      <w:sz w:val="16"/>
      <w:szCs w:val="16"/>
    </w:rPr>
  </w:style>
  <w:style w:type="paragraph" w:styleId="Cabealho">
    <w:name w:val="header"/>
    <w:basedOn w:val="Normal"/>
    <w:link w:val="CabealhoCarcter"/>
    <w:uiPriority w:val="99"/>
    <w:semiHidden/>
    <w:unhideWhenUsed/>
    <w:rsid w:val="004B4FA7"/>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semiHidden/>
    <w:rsid w:val="004B4FA7"/>
  </w:style>
  <w:style w:type="paragraph" w:styleId="Rodap">
    <w:name w:val="footer"/>
    <w:basedOn w:val="Normal"/>
    <w:link w:val="RodapCarcter"/>
    <w:uiPriority w:val="99"/>
    <w:unhideWhenUsed/>
    <w:rsid w:val="004B4FA7"/>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4B4FA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2487</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copiaexpresso</Company>
  <LinksUpToDate>false</LinksUpToDate>
  <CharactersWithSpaces>15887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dc:creator>
  <cp:keywords/>
  <dc:description/>
  <cp:lastModifiedBy>catia</cp:lastModifiedBy>
  <cp:revision>5</cp:revision>
  <cp:lastPrinted>2010-09-21T11:13:00Z</cp:lastPrinted>
  <dcterms:created xsi:type="dcterms:W3CDTF">2010-09-22T10:44:00Z</dcterms:created>
  <dcterms:modified xsi:type="dcterms:W3CDTF">2010-09-22T10:53:00Z</dcterms:modified>
</cp:coreProperties>
</file>