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42" w:rsidRPr="00427E42" w:rsidRDefault="00427E42" w:rsidP="002F1290">
      <w:pPr>
        <w:pStyle w:val="Corpodetexto"/>
        <w:autoSpaceDE w:val="0"/>
        <w:spacing w:after="0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1 — Caracterização da entidade: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C94AC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1.1 — A sociedade usa a designação </w:t>
      </w:r>
      <w:proofErr w:type="gramStart"/>
      <w:r>
        <w:rPr>
          <w:rFonts w:ascii="Verdana" w:hAnsi="Verdana"/>
          <w:sz w:val="20"/>
        </w:rPr>
        <w:t>de</w:t>
      </w:r>
      <w:proofErr w:type="gramEnd"/>
      <w:r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…</w:t>
      </w: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1.2 — </w:t>
      </w:r>
      <w:r w:rsidR="00C94AC5">
        <w:rPr>
          <w:rFonts w:ascii="Verdana" w:hAnsi="Verdana"/>
          <w:sz w:val="20"/>
        </w:rPr>
        <w:t xml:space="preserve">Tem sede </w:t>
      </w:r>
      <w:proofErr w:type="gramStart"/>
      <w:r w:rsidR="00C94AC5">
        <w:rPr>
          <w:rFonts w:ascii="Verdana" w:hAnsi="Verdana"/>
          <w:sz w:val="20"/>
        </w:rPr>
        <w:t xml:space="preserve">na </w:t>
      </w:r>
      <w:r w:rsidR="004A4C55">
        <w:rPr>
          <w:rFonts w:ascii="Verdana" w:hAnsi="Verdana"/>
          <w:sz w:val="20"/>
        </w:rPr>
        <w:t>..</w:t>
      </w:r>
      <w:r w:rsidR="00C94AC5">
        <w:rPr>
          <w:rFonts w:ascii="Verdana" w:hAnsi="Verdana"/>
          <w:sz w:val="20"/>
        </w:rPr>
        <w:t>.</w:t>
      </w:r>
      <w:proofErr w:type="gramEnd"/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1.3 — </w:t>
      </w:r>
      <w:r w:rsidR="00C94AC5">
        <w:rPr>
          <w:rFonts w:ascii="Verdana" w:hAnsi="Verdana"/>
          <w:sz w:val="20"/>
        </w:rPr>
        <w:t xml:space="preserve">Exerce a actividade </w:t>
      </w:r>
      <w:proofErr w:type="gramStart"/>
      <w:r w:rsidR="00C94AC5">
        <w:rPr>
          <w:rFonts w:ascii="Verdana" w:hAnsi="Verdana"/>
          <w:sz w:val="20"/>
        </w:rPr>
        <w:t xml:space="preserve">de </w:t>
      </w:r>
      <w:r w:rsidR="004A4C55">
        <w:rPr>
          <w:rFonts w:ascii="Verdana" w:hAnsi="Verdana"/>
          <w:sz w:val="20"/>
        </w:rPr>
        <w:t>..</w:t>
      </w:r>
      <w:r w:rsidR="00C94AC5">
        <w:rPr>
          <w:rFonts w:ascii="Verdana" w:hAnsi="Verdana"/>
          <w:sz w:val="20"/>
        </w:rPr>
        <w:t>.</w:t>
      </w:r>
      <w:proofErr w:type="gramEnd"/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1.4 — </w:t>
      </w:r>
      <w:r w:rsidR="00C94AC5">
        <w:rPr>
          <w:rFonts w:ascii="Verdana" w:hAnsi="Verdana"/>
          <w:sz w:val="20"/>
        </w:rPr>
        <w:t xml:space="preserve">A actividade está enquadrada no CAE </w:t>
      </w:r>
      <w:r w:rsidR="004A4C55">
        <w:rPr>
          <w:rFonts w:ascii="Verdana" w:hAnsi="Verdana"/>
          <w:sz w:val="20"/>
        </w:rPr>
        <w:t>…</w:t>
      </w:r>
    </w:p>
    <w:p w:rsidR="004A4C55" w:rsidRDefault="004A4C5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1.5 — Número mé</w:t>
      </w:r>
      <w:r w:rsidR="00C94AC5">
        <w:rPr>
          <w:rFonts w:ascii="Verdana" w:hAnsi="Verdana"/>
          <w:sz w:val="20"/>
        </w:rPr>
        <w:t xml:space="preserve">dio de empregados durante o ano foi </w:t>
      </w:r>
      <w:proofErr w:type="gramStart"/>
      <w:r w:rsidR="00C94AC5">
        <w:rPr>
          <w:rFonts w:ascii="Verdana" w:hAnsi="Verdana"/>
          <w:sz w:val="20"/>
        </w:rPr>
        <w:t>de</w:t>
      </w:r>
      <w:proofErr w:type="gramEnd"/>
      <w:r w:rsidR="00C94AC5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…</w:t>
      </w: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2 — Referencial contabilístico: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2.1 — O referencial contabilístico de preparação das</w:t>
      </w:r>
      <w:r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demonstrações f</w:t>
      </w:r>
      <w:r w:rsidR="00C94AC5">
        <w:rPr>
          <w:rFonts w:ascii="Verdana" w:hAnsi="Verdana"/>
          <w:sz w:val="20"/>
        </w:rPr>
        <w:t xml:space="preserve">inanceiras é </w:t>
      </w:r>
      <w:r w:rsidR="00743C63">
        <w:rPr>
          <w:rFonts w:ascii="Verdana" w:hAnsi="Verdana"/>
          <w:sz w:val="20"/>
        </w:rPr>
        <w:t>a norma contabilística das micro-entidades.</w:t>
      </w: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2.2 — </w:t>
      </w:r>
      <w:r w:rsidR="00743C63">
        <w:rPr>
          <w:rFonts w:ascii="Verdana" w:hAnsi="Verdana"/>
          <w:sz w:val="20"/>
        </w:rPr>
        <w:t>Os conteúdos nas</w:t>
      </w:r>
      <w:r>
        <w:rPr>
          <w:rFonts w:ascii="Verdana" w:hAnsi="Verdana"/>
          <w:sz w:val="20"/>
        </w:rPr>
        <w:t xml:space="preserve"> contas do balanço e </w:t>
      </w:r>
      <w:r w:rsidR="004A4C55">
        <w:rPr>
          <w:rFonts w:ascii="Verdana" w:hAnsi="Verdana"/>
          <w:sz w:val="20"/>
        </w:rPr>
        <w:t>demonstração de</w:t>
      </w:r>
      <w:r w:rsidRPr="00427E42">
        <w:rPr>
          <w:rFonts w:ascii="Verdana" w:hAnsi="Verdana"/>
          <w:sz w:val="20"/>
        </w:rPr>
        <w:t xml:space="preserve"> resul</w:t>
      </w:r>
      <w:r>
        <w:rPr>
          <w:rFonts w:ascii="Verdana" w:hAnsi="Verdana"/>
          <w:sz w:val="20"/>
        </w:rPr>
        <w:t>tados</w:t>
      </w:r>
      <w:r w:rsidR="004A4C55">
        <w:rPr>
          <w:rFonts w:ascii="Verdana" w:hAnsi="Verdana"/>
          <w:sz w:val="20"/>
        </w:rPr>
        <w:t xml:space="preserve"> do exercício</w:t>
      </w:r>
      <w:r w:rsidR="00A16CA5">
        <w:rPr>
          <w:rFonts w:ascii="Verdana" w:hAnsi="Verdana"/>
          <w:sz w:val="20"/>
        </w:rPr>
        <w:t xml:space="preserve"> </w:t>
      </w:r>
      <w:r w:rsidR="00743C63">
        <w:rPr>
          <w:rFonts w:ascii="Verdana" w:hAnsi="Verdana"/>
          <w:sz w:val="20"/>
        </w:rPr>
        <w:t>são todos</w:t>
      </w:r>
      <w:r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comparáveis com os do exercício anterior;</w:t>
      </w: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2.3 — Adopção </w:t>
      </w:r>
      <w:r>
        <w:rPr>
          <w:rFonts w:ascii="Verdana" w:hAnsi="Verdana"/>
          <w:sz w:val="20"/>
        </w:rPr>
        <w:t xml:space="preserve">pela primeira vez da NC-ME (divulgação </w:t>
      </w:r>
      <w:r w:rsidRPr="00427E42">
        <w:rPr>
          <w:rFonts w:ascii="Verdana" w:hAnsi="Verdana"/>
          <w:sz w:val="20"/>
        </w:rPr>
        <w:t xml:space="preserve">transitória): uma </w:t>
      </w:r>
      <w:r>
        <w:rPr>
          <w:rFonts w:ascii="Verdana" w:hAnsi="Verdana"/>
          <w:sz w:val="20"/>
        </w:rPr>
        <w:t xml:space="preserve">explicação acerca da forma como </w:t>
      </w:r>
      <w:r w:rsidRPr="00427E42">
        <w:rPr>
          <w:rFonts w:ascii="Verdana" w:hAnsi="Verdana"/>
          <w:sz w:val="20"/>
        </w:rPr>
        <w:t>a transição dos anteriores princí</w:t>
      </w:r>
      <w:r>
        <w:rPr>
          <w:rFonts w:ascii="Verdana" w:hAnsi="Verdana"/>
          <w:sz w:val="20"/>
        </w:rPr>
        <w:t xml:space="preserve">pios contabilísticos geralmente </w:t>
      </w:r>
      <w:r w:rsidRPr="00427E42">
        <w:rPr>
          <w:rFonts w:ascii="Verdana" w:hAnsi="Verdana"/>
          <w:sz w:val="20"/>
        </w:rPr>
        <w:t>aceites (PCGA) par</w:t>
      </w:r>
      <w:r>
        <w:rPr>
          <w:rFonts w:ascii="Verdana" w:hAnsi="Verdana"/>
          <w:sz w:val="20"/>
        </w:rPr>
        <w:t xml:space="preserve">a a NC -ME, afectou o balanço e </w:t>
      </w:r>
      <w:r w:rsidRPr="00427E42">
        <w:rPr>
          <w:rFonts w:ascii="Verdana" w:hAnsi="Verdana"/>
          <w:sz w:val="20"/>
        </w:rPr>
        <w:t>a demonstração dos resultados, distinguindo entre a</w:t>
      </w:r>
      <w:r>
        <w:rPr>
          <w:rFonts w:ascii="Verdana" w:hAnsi="Verdana"/>
          <w:sz w:val="20"/>
        </w:rPr>
        <w:t xml:space="preserve"> correcção </w:t>
      </w:r>
      <w:r w:rsidRPr="00427E42">
        <w:rPr>
          <w:rFonts w:ascii="Verdana" w:hAnsi="Verdana"/>
          <w:sz w:val="20"/>
        </w:rPr>
        <w:t>desses erros e as alterações às políticas contabilísticas.</w:t>
      </w: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3 — Principais políticas contabilísticas: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A4C5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3.1 — As bases </w:t>
      </w:r>
      <w:r w:rsidR="00427E42" w:rsidRPr="00427E42">
        <w:rPr>
          <w:rFonts w:ascii="Verdana" w:hAnsi="Verdana"/>
          <w:sz w:val="20"/>
        </w:rPr>
        <w:t>de mensuração usadas na preparação das</w:t>
      </w:r>
      <w:r w:rsidR="00427E42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demonstrações financeiras são as </w:t>
      </w:r>
      <w:r w:rsidR="00743C63">
        <w:rPr>
          <w:rFonts w:ascii="Verdana" w:hAnsi="Verdana"/>
          <w:sz w:val="20"/>
        </w:rPr>
        <w:t>recomendadas pelo normativo contabilístico em vigor, e na demais legislação aplicável</w:t>
      </w:r>
      <w:r>
        <w:rPr>
          <w:rFonts w:ascii="Verdana" w:hAnsi="Verdana"/>
          <w:sz w:val="20"/>
        </w:rPr>
        <w:t>.</w:t>
      </w: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A4C5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3.2 — Não houve necessidade de usar o</w:t>
      </w:r>
      <w:r w:rsidR="00427E42" w:rsidRPr="00427E42">
        <w:rPr>
          <w:rFonts w:ascii="Verdana" w:hAnsi="Verdana"/>
          <w:sz w:val="20"/>
        </w:rPr>
        <w:t>utras políticas contabilísticas.</w:t>
      </w: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4 — Políticas contabilísticas, alterações nas estimativas contabilísticas e erros: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4.1 — Alterações de políticas contabilísticas:</w:t>
      </w:r>
    </w:p>
    <w:p w:rsidR="004D4B5A" w:rsidRDefault="00E15A99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0" type="#_x0000_t75" style="position:absolute;left:0;text-align:left;margin-left:0;margin-top:.3pt;width:555.65pt;height:96.7pt;z-index:251683840;mso-position-horizontal:center;mso-position-horizontal-relative:text;mso-position-vertical:absolute;mso-position-vertical-relative:text">
            <v:imagedata r:id="rId8" o:title=""/>
            <w10:wrap type="square"/>
          </v:shape>
          <o:OLEObject Type="Embed" ProgID="Excel.Sheet.12" ShapeID="_x0000_s1050" DrawAspect="Content" ObjectID="_1464600216" r:id="rId9"/>
        </w:pict>
      </w:r>
    </w:p>
    <w:p w:rsidR="004D4B5A" w:rsidRDefault="004D4B5A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4.2 — Alterações nas estimativas contabilísticas:</w:t>
      </w:r>
    </w:p>
    <w:p w:rsidR="004D4B5A" w:rsidRDefault="004D4B5A" w:rsidP="004D4B5A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D4B5A" w:rsidRDefault="00E15A99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lastRenderedPageBreak/>
        <w:pict>
          <v:shape id="_x0000_s1051" type="#_x0000_t75" style="position:absolute;left:0;text-align:left;margin-left:0;margin-top:.3pt;width:555.65pt;height:96.7pt;z-index:251685888;mso-position-horizontal:center;mso-position-horizontal-relative:text;mso-position-vertical:absolute;mso-position-vertical-relative:text">
            <v:imagedata r:id="rId10" o:title=""/>
            <w10:wrap type="square"/>
          </v:shape>
          <o:OLEObject Type="Embed" ProgID="Excel.Sheet.12" ShapeID="_x0000_s1051" DrawAspect="Content" ObjectID="_1464600217" r:id="rId11"/>
        </w:pict>
      </w:r>
    </w:p>
    <w:p w:rsidR="00427E42" w:rsidRDefault="00427E42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4.3 — Erros:</w:t>
      </w:r>
    </w:p>
    <w:p w:rsidR="003316EC" w:rsidRDefault="00E15A99" w:rsidP="003316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pict>
          <v:shape id="_x0000_s1052" type="#_x0000_t75" style="position:absolute;left:0;text-align:left;margin-left:0;margin-top:.3pt;width:555.1pt;height:96.7pt;z-index:251687936;mso-position-horizontal:center;mso-position-horizontal-relative:text;mso-position-vertical:absolute;mso-position-vertical-relative:text">
            <v:imagedata r:id="rId12" o:title=""/>
            <w10:wrap type="square"/>
          </v:shape>
          <o:OLEObject Type="Embed" ProgID="Excel.Sheet.12" ShapeID="_x0000_s1052" DrawAspect="Content" ObjectID="_1464600218" r:id="rId13"/>
        </w:pict>
      </w:r>
    </w:p>
    <w:p w:rsidR="002F1290" w:rsidRDefault="002F1290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5 — Activos fixos tangíveis: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5.1 — </w:t>
      </w:r>
      <w:r w:rsidR="00A96331">
        <w:rPr>
          <w:rFonts w:ascii="Verdana" w:hAnsi="Verdana"/>
          <w:sz w:val="20"/>
        </w:rPr>
        <w:t xml:space="preserve">As taxas de depreciação usadas são as </w:t>
      </w:r>
      <w:r w:rsidR="00743C63">
        <w:rPr>
          <w:rFonts w:ascii="Verdana" w:hAnsi="Verdana"/>
          <w:sz w:val="20"/>
        </w:rPr>
        <w:t>que resultam da aplicação do</w:t>
      </w:r>
      <w:r w:rsidR="00A96331">
        <w:rPr>
          <w:rFonts w:ascii="Verdana" w:hAnsi="Verdana"/>
          <w:sz w:val="20"/>
        </w:rPr>
        <w:t xml:space="preserve"> decreto regulamentar</w:t>
      </w:r>
      <w:r w:rsidR="00743C63">
        <w:rPr>
          <w:rFonts w:ascii="Verdana" w:hAnsi="Verdana"/>
          <w:sz w:val="20"/>
        </w:rPr>
        <w:t xml:space="preserve"> 25/2009</w:t>
      </w:r>
      <w:r w:rsidR="00A96331">
        <w:rPr>
          <w:rFonts w:ascii="Verdana" w:hAnsi="Verdana"/>
          <w:sz w:val="20"/>
        </w:rPr>
        <w:t>.</w:t>
      </w:r>
    </w:p>
    <w:p w:rsidR="00427E42" w:rsidRDefault="00E15A99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pict>
          <v:shape id="_x0000_s1043" type="#_x0000_t75" style="position:absolute;left:0;text-align:left;margin-left:-17.45pt;margin-top:29.55pt;width:549.05pt;height:166.15pt;z-index:251669504;mso-position-horizontal-relative:text;mso-position-vertical-relative:text">
            <v:imagedata r:id="rId14" o:title=""/>
            <w10:wrap type="square"/>
          </v:shape>
          <o:OLEObject Type="Embed" ProgID="Excel.Sheet.12" ShapeID="_x0000_s1043" DrawAspect="Content" ObjectID="_1464600219" r:id="rId15"/>
        </w:pict>
      </w:r>
    </w:p>
    <w:p w:rsidR="00A96331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5.2 — Quantia escriturada </w:t>
      </w:r>
      <w:r>
        <w:rPr>
          <w:rFonts w:ascii="Verdana" w:hAnsi="Verdana"/>
          <w:sz w:val="20"/>
        </w:rPr>
        <w:t xml:space="preserve">bruta e a depreciação acumulada </w:t>
      </w:r>
      <w:r w:rsidR="00A96331">
        <w:rPr>
          <w:rFonts w:ascii="Verdana" w:hAnsi="Verdana"/>
          <w:sz w:val="20"/>
        </w:rPr>
        <w:t>no início e no fim do período;</w:t>
      </w:r>
    </w:p>
    <w:p w:rsidR="00A96331" w:rsidRDefault="00A9633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C9653F" w:rsidRDefault="00C9653F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A96331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5.3 — Reconciliação d</w:t>
      </w:r>
      <w:r>
        <w:rPr>
          <w:rFonts w:ascii="Verdana" w:hAnsi="Verdana"/>
          <w:sz w:val="20"/>
        </w:rPr>
        <w:t xml:space="preserve">a quantia escriturada no início </w:t>
      </w:r>
      <w:r w:rsidRPr="00427E42">
        <w:rPr>
          <w:rFonts w:ascii="Verdana" w:hAnsi="Verdana"/>
          <w:sz w:val="20"/>
        </w:rPr>
        <w:t>e no fim do período que mo</w:t>
      </w:r>
      <w:r>
        <w:rPr>
          <w:rFonts w:ascii="Verdana" w:hAnsi="Verdana"/>
          <w:sz w:val="20"/>
        </w:rPr>
        <w:t xml:space="preserve">stre as adições, as alienações, </w:t>
      </w:r>
      <w:r w:rsidRPr="00427E42">
        <w:rPr>
          <w:rFonts w:ascii="Verdana" w:hAnsi="Verdana"/>
          <w:sz w:val="20"/>
        </w:rPr>
        <w:t>os abates e as depreciações;</w:t>
      </w:r>
      <w:r w:rsidR="00A96331">
        <w:rPr>
          <w:rFonts w:ascii="Verdana" w:hAnsi="Verdana"/>
          <w:sz w:val="20"/>
        </w:rPr>
        <w:t xml:space="preserve"> </w:t>
      </w:r>
    </w:p>
    <w:p w:rsidR="00A96331" w:rsidRDefault="00E15A99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lastRenderedPageBreak/>
        <w:pict>
          <v:shape id="_x0000_s1044" type="#_x0000_t75" style="position:absolute;left:0;text-align:left;margin-left:0;margin-top:.3pt;width:574.85pt;height:167.55pt;z-index:251671552;mso-position-horizontal:center;mso-position-horizontal-relative:text;mso-position-vertical:absolute;mso-position-vertical-relative:text">
            <v:imagedata r:id="rId16" o:title=""/>
            <w10:wrap type="square"/>
          </v:shape>
          <o:OLEObject Type="Embed" ProgID="Excel.Sheet.12" ShapeID="_x0000_s1044" DrawAspect="Content" ObjectID="_1464600220" r:id="rId17"/>
        </w:pict>
      </w:r>
    </w:p>
    <w:p w:rsidR="00C9653F" w:rsidRDefault="00C9653F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C9653F" w:rsidRDefault="00C9653F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A4C55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5.4 — Não houve, durante o exercício,</w:t>
      </w:r>
      <w:r w:rsidRPr="00427E42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r</w:t>
      </w:r>
      <w:r w:rsidR="00427E42" w:rsidRPr="00427E42">
        <w:rPr>
          <w:rFonts w:ascii="Verdana" w:hAnsi="Verdana"/>
          <w:sz w:val="20"/>
        </w:rPr>
        <w:t>estrições de titular</w:t>
      </w:r>
      <w:r w:rsidR="00427E42">
        <w:rPr>
          <w:rFonts w:ascii="Verdana" w:hAnsi="Verdana"/>
          <w:sz w:val="20"/>
        </w:rPr>
        <w:t xml:space="preserve">idade e activos fixos tangíveis </w:t>
      </w:r>
      <w:r w:rsidR="00427E42" w:rsidRPr="00427E42">
        <w:rPr>
          <w:rFonts w:ascii="Verdana" w:hAnsi="Verdana"/>
          <w:sz w:val="20"/>
        </w:rPr>
        <w:t>que sejam dados como garantia de passivos;</w:t>
      </w:r>
    </w:p>
    <w:p w:rsidR="00A96331" w:rsidRDefault="00A96331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5.5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c</w:t>
      </w:r>
      <w:r w:rsidRPr="00427E42">
        <w:rPr>
          <w:rFonts w:ascii="Verdana" w:hAnsi="Verdana"/>
          <w:sz w:val="20"/>
        </w:rPr>
        <w:t>ompromisso</w:t>
      </w:r>
      <w:r>
        <w:rPr>
          <w:rFonts w:ascii="Verdana" w:hAnsi="Verdana"/>
          <w:sz w:val="20"/>
        </w:rPr>
        <w:t xml:space="preserve">s contratuais para aquisição de </w:t>
      </w:r>
      <w:r w:rsidRPr="00427E42">
        <w:rPr>
          <w:rFonts w:ascii="Verdana" w:hAnsi="Verdana"/>
          <w:sz w:val="20"/>
        </w:rPr>
        <w:t>activos fixos tangíveis.</w:t>
      </w:r>
    </w:p>
    <w:p w:rsidR="00427E42" w:rsidRDefault="00427E42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A4C55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427E42">
        <w:rPr>
          <w:rFonts w:ascii="Verdana" w:hAnsi="Verdana"/>
          <w:b/>
          <w:sz w:val="20"/>
        </w:rPr>
        <w:t>6 — Activos intangíveis:</w:t>
      </w:r>
    </w:p>
    <w:p w:rsidR="002F1290" w:rsidRDefault="002F1290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6.1 — Divulgar se as vidas úteis são indefinidas ou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finitas e, se forem finitas, as vidas úteis ou as taxas de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amortização usadas;</w:t>
      </w:r>
    </w:p>
    <w:p w:rsidR="00A96331" w:rsidRDefault="00A96331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A4C55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6.2 — Quantia bruta escriturada e qualquer amortização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acumulada no começo e fim do período;</w:t>
      </w:r>
    </w:p>
    <w:p w:rsidR="003F1545" w:rsidRDefault="003F1545" w:rsidP="004A4C55">
      <w:pPr>
        <w:pStyle w:val="Corpodetexto"/>
        <w:spacing w:after="0"/>
        <w:jc w:val="both"/>
        <w:rPr>
          <w:rFonts w:ascii="Verdana" w:hAnsi="Verdana"/>
          <w:sz w:val="20"/>
        </w:rPr>
      </w:pPr>
    </w:p>
    <w:p w:rsidR="003F1545" w:rsidRDefault="003F1545" w:rsidP="004A4C55">
      <w:pPr>
        <w:pStyle w:val="Corpodetexto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6.2.1 – No </w:t>
      </w:r>
      <w:r w:rsidR="00430582">
        <w:rPr>
          <w:rFonts w:ascii="Verdana" w:hAnsi="Verdana"/>
          <w:sz w:val="20"/>
        </w:rPr>
        <w:t>início</w:t>
      </w:r>
    </w:p>
    <w:p w:rsidR="003F1545" w:rsidRDefault="00E15A99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pict>
          <v:shape id="_x0000_s1045" type="#_x0000_t75" style="position:absolute;left:0;text-align:left;margin-left:0;margin-top:.3pt;width:521.2pt;height:139.65pt;z-index:251673600;mso-position-horizontal:center;mso-position-horizontal-relative:text;mso-position-vertical:absolute;mso-position-vertical-relative:text">
            <v:imagedata r:id="rId18" o:title=""/>
            <w10:wrap type="square"/>
          </v:shape>
          <o:OLEObject Type="Embed" ProgID="Excel.Sheet.12" ShapeID="_x0000_s1045" DrawAspect="Content" ObjectID="_1464600221" r:id="rId19"/>
        </w:pict>
      </w:r>
    </w:p>
    <w:p w:rsidR="003F1545" w:rsidRDefault="003F1545" w:rsidP="00E451EC">
      <w:pPr>
        <w:pStyle w:val="Corpodetexto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6.2.1 – No fim</w:t>
      </w:r>
    </w:p>
    <w:p w:rsidR="006B6571" w:rsidRDefault="00E15A99" w:rsidP="00E451EC">
      <w:pPr>
        <w:pStyle w:val="Corpodetexto"/>
        <w:autoSpaceDE w:val="0"/>
        <w:spacing w:after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noProof/>
          <w:sz w:val="20"/>
        </w:rPr>
        <w:lastRenderedPageBreak/>
        <w:pict>
          <v:shape id="_x0000_s1046" type="#_x0000_t75" style="position:absolute;left:0;text-align:left;margin-left:0;margin-top:.3pt;width:511.5pt;height:136.75pt;z-index:251675648;mso-position-horizontal:center;mso-position-horizontal-relative:text;mso-position-vertical:absolute;mso-position-vertical-relative:text">
            <v:imagedata r:id="rId20" o:title=""/>
            <w10:wrap type="square"/>
          </v:shape>
          <o:OLEObject Type="Embed" ProgID="Excel.Sheet.12" ShapeID="_x0000_s1046" DrawAspect="Content" ObjectID="_1464600222" r:id="rId21"/>
        </w:pict>
      </w:r>
    </w:p>
    <w:p w:rsidR="006B6571" w:rsidRDefault="006B6571" w:rsidP="00E451EC">
      <w:pPr>
        <w:pStyle w:val="Corpodetexto"/>
        <w:autoSpaceDE w:val="0"/>
        <w:spacing w:after="0"/>
        <w:jc w:val="both"/>
        <w:rPr>
          <w:rFonts w:ascii="Verdana" w:hAnsi="Verdana"/>
          <w:b/>
          <w:sz w:val="18"/>
          <w:szCs w:val="18"/>
        </w:rPr>
      </w:pPr>
    </w:p>
    <w:p w:rsidR="00427E42" w:rsidRPr="00427E42" w:rsidRDefault="00427E42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6.3 — Reconciliação da quantia escriturada no </w:t>
      </w:r>
      <w:r w:rsidR="003F1545" w:rsidRPr="00427E42">
        <w:rPr>
          <w:rFonts w:ascii="Verdana" w:hAnsi="Verdana"/>
          <w:sz w:val="20"/>
        </w:rPr>
        <w:t>início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e no fim do período que mostre as adições, as alienações,</w:t>
      </w:r>
      <w:r w:rsidR="00A96331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os abates e as amortizações;</w:t>
      </w:r>
    </w:p>
    <w:p w:rsidR="00D03501" w:rsidRDefault="00E15A99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noProof/>
          <w:sz w:val="18"/>
          <w:szCs w:val="18"/>
        </w:rPr>
        <w:pict>
          <v:shape id="_x0000_s1047" type="#_x0000_t75" style="position:absolute;left:0;text-align:left;margin-left:0;margin-top:0;width:546.7pt;height:139.65pt;z-index:251677696;mso-position-horizontal:center;mso-position-horizontal-relative:text;mso-position-vertical:absolute;mso-position-vertical-relative:text">
            <v:imagedata r:id="rId22" o:title=""/>
            <w10:wrap type="square"/>
          </v:shape>
          <o:OLEObject Type="Embed" ProgID="Excel.Sheet.12" ShapeID="_x0000_s1047" DrawAspect="Content" ObjectID="_1464600223" r:id="rId23"/>
        </w:pict>
      </w:r>
    </w:p>
    <w:p w:rsidR="00D03501" w:rsidRDefault="00D0350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18"/>
          <w:szCs w:val="18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6.4 — </w:t>
      </w:r>
      <w:r w:rsidR="00E15A99">
        <w:rPr>
          <w:rFonts w:ascii="Verdana" w:hAnsi="Verdana"/>
          <w:sz w:val="20"/>
        </w:rPr>
        <w:t>Não existem activos</w:t>
      </w:r>
      <w:r w:rsidR="00E15A99" w:rsidRPr="00427E42">
        <w:rPr>
          <w:rFonts w:ascii="Verdana" w:hAnsi="Verdana"/>
          <w:sz w:val="20"/>
        </w:rPr>
        <w:t xml:space="preserve"> intangíve</w:t>
      </w:r>
      <w:r w:rsidR="00E15A99">
        <w:rPr>
          <w:rFonts w:ascii="Verdana" w:hAnsi="Verdana"/>
          <w:sz w:val="20"/>
        </w:rPr>
        <w:t>is</w:t>
      </w:r>
      <w:r w:rsidR="00E15A99" w:rsidRPr="00427E42">
        <w:rPr>
          <w:rFonts w:ascii="Verdana" w:hAnsi="Verdana"/>
          <w:sz w:val="20"/>
        </w:rPr>
        <w:t xml:space="preserve"> avaliado</w:t>
      </w:r>
      <w:r w:rsidR="00E15A99">
        <w:rPr>
          <w:rFonts w:ascii="Verdana" w:hAnsi="Verdana"/>
          <w:sz w:val="20"/>
        </w:rPr>
        <w:t>s</w:t>
      </w:r>
      <w:r w:rsidR="00E15A99" w:rsidRPr="00427E42">
        <w:rPr>
          <w:rFonts w:ascii="Verdana" w:hAnsi="Verdana"/>
          <w:sz w:val="20"/>
        </w:rPr>
        <w:t xml:space="preserve"> como tendo</w:t>
      </w:r>
      <w:r w:rsidR="00E15A99">
        <w:rPr>
          <w:rFonts w:ascii="Verdana" w:hAnsi="Verdana"/>
          <w:sz w:val="20"/>
        </w:rPr>
        <w:t xml:space="preserve"> </w:t>
      </w:r>
      <w:r w:rsidR="00E15A99" w:rsidRPr="00427E42">
        <w:rPr>
          <w:rFonts w:ascii="Verdana" w:hAnsi="Verdana"/>
          <w:sz w:val="20"/>
        </w:rPr>
        <w:t>uma vida</w:t>
      </w:r>
      <w:r w:rsidR="00E15A99">
        <w:rPr>
          <w:rFonts w:ascii="Verdana" w:hAnsi="Verdana"/>
          <w:sz w:val="20"/>
        </w:rPr>
        <w:t>s</w:t>
      </w:r>
      <w:r w:rsidR="00E15A99" w:rsidRPr="00427E42">
        <w:rPr>
          <w:rFonts w:ascii="Verdana" w:hAnsi="Verdana"/>
          <w:sz w:val="20"/>
        </w:rPr>
        <w:t xml:space="preserve"> út</w:t>
      </w:r>
      <w:r w:rsidR="00E15A99">
        <w:rPr>
          <w:rFonts w:ascii="Verdana" w:hAnsi="Verdana"/>
          <w:sz w:val="20"/>
        </w:rPr>
        <w:t>eis</w:t>
      </w:r>
      <w:r w:rsidR="00E15A99" w:rsidRPr="00427E42">
        <w:rPr>
          <w:rFonts w:ascii="Verdana" w:hAnsi="Verdana"/>
          <w:sz w:val="20"/>
        </w:rPr>
        <w:t xml:space="preserve"> indefinida</w:t>
      </w:r>
      <w:r w:rsidR="00E15A99">
        <w:rPr>
          <w:rFonts w:ascii="Verdana" w:hAnsi="Verdana"/>
          <w:sz w:val="20"/>
        </w:rPr>
        <w:t>s.</w:t>
      </w:r>
      <w:r w:rsidR="00E15A99">
        <w:rPr>
          <w:rFonts w:ascii="Verdana" w:hAnsi="Verdana"/>
          <w:sz w:val="20"/>
        </w:rPr>
        <w:t xml:space="preserve"> / </w:t>
      </w:r>
      <w:r w:rsidRPr="00427E42">
        <w:rPr>
          <w:rFonts w:ascii="Verdana" w:hAnsi="Verdana"/>
          <w:sz w:val="20"/>
        </w:rPr>
        <w:t>Para um activo intangível avaliado como tendo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uma vida útil indefinida, a quantia escriturada desse activo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e as razões que apoiam a avaliação de uma vida útil</w:t>
      </w:r>
      <w:r w:rsidR="003F1545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indefinida.</w:t>
      </w:r>
    </w:p>
    <w:p w:rsidR="003F1545" w:rsidRDefault="003F154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6.5 — </w:t>
      </w:r>
      <w:r w:rsidR="004A4C55">
        <w:rPr>
          <w:rFonts w:ascii="Verdana" w:hAnsi="Verdana"/>
          <w:sz w:val="20"/>
        </w:rPr>
        <w:t>Não houve, durante o exercício,</w:t>
      </w:r>
      <w:r w:rsidRPr="00427E42">
        <w:rPr>
          <w:rFonts w:ascii="Verdana" w:hAnsi="Verdana"/>
          <w:sz w:val="20"/>
        </w:rPr>
        <w:t xml:space="preserve"> compromissos contratuais para aquisição</w:t>
      </w:r>
      <w:r w:rsidR="003F1545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de activos intangíveis.</w:t>
      </w:r>
    </w:p>
    <w:p w:rsidR="003F1545" w:rsidRDefault="003F154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A4C5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6.6 — Não houve, durante o exercício,</w:t>
      </w:r>
      <w:r w:rsidRPr="00427E42"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>dispêndio de pesquisa e</w:t>
      </w:r>
      <w:r w:rsidR="003F1545"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>desenvolvimento reconhecido como um gasto durante o</w:t>
      </w:r>
      <w:r w:rsidR="003F1545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período.</w:t>
      </w:r>
    </w:p>
    <w:p w:rsidR="003F1545" w:rsidRDefault="003F154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6.7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i</w:t>
      </w:r>
      <w:r w:rsidRPr="00427E42">
        <w:rPr>
          <w:rFonts w:ascii="Verdana" w:hAnsi="Verdana"/>
          <w:sz w:val="20"/>
        </w:rPr>
        <w:t>ncentivos públicos relacionados com a protecção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ambiental, recebidos ou atribuídos à entidade, com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especifi</w:t>
      </w:r>
      <w:r w:rsidR="004A4C55">
        <w:rPr>
          <w:rFonts w:ascii="Verdana" w:hAnsi="Verdana"/>
          <w:sz w:val="20"/>
        </w:rPr>
        <w:t>cação das respectivas condições.</w:t>
      </w:r>
    </w:p>
    <w:p w:rsidR="003F1545" w:rsidRDefault="003F154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6.8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d</w:t>
      </w:r>
      <w:r w:rsidRPr="00427E42">
        <w:rPr>
          <w:rFonts w:ascii="Verdana" w:hAnsi="Verdana"/>
          <w:sz w:val="20"/>
        </w:rPr>
        <w:t>ispêndios de carácter ambiental capitalizados</w:t>
      </w:r>
      <w:r w:rsidR="003F1545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durante o período.</w:t>
      </w:r>
    </w:p>
    <w:p w:rsidR="003F1545" w:rsidRDefault="003F154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6.9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d</w:t>
      </w:r>
      <w:r w:rsidRPr="00427E42">
        <w:rPr>
          <w:rFonts w:ascii="Verdana" w:hAnsi="Verdana"/>
          <w:sz w:val="20"/>
        </w:rPr>
        <w:t>ispêndios de carácter ambiental imputados a</w:t>
      </w:r>
      <w:r w:rsidR="003F1545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resultados.</w:t>
      </w:r>
    </w:p>
    <w:p w:rsidR="003F1545" w:rsidRDefault="003F154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DA7C4F" w:rsidRDefault="00DA7C4F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DA7C4F" w:rsidRDefault="00DA7C4F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3F1545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3F1545">
        <w:rPr>
          <w:rFonts w:ascii="Verdana" w:hAnsi="Verdana"/>
          <w:b/>
          <w:sz w:val="20"/>
        </w:rPr>
        <w:t>7 — Locações: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7.1 — Quantia escriturada líquida à data do balanço </w:t>
      </w:r>
      <w:r w:rsidR="003F1545">
        <w:rPr>
          <w:rFonts w:ascii="Verdana" w:hAnsi="Verdana"/>
          <w:sz w:val="20"/>
        </w:rPr>
        <w:t xml:space="preserve">por </w:t>
      </w:r>
      <w:r w:rsidRPr="00427E42">
        <w:rPr>
          <w:rFonts w:ascii="Verdana" w:hAnsi="Verdana"/>
          <w:sz w:val="20"/>
        </w:rPr>
        <w:t>cada categoria de activo em locações financeiras;</w:t>
      </w:r>
    </w:p>
    <w:p w:rsidR="003F1545" w:rsidRDefault="00E15A99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lastRenderedPageBreak/>
        <w:pict>
          <v:shape id="_x0000_s1048" type="#_x0000_t75" style="position:absolute;left:0;text-align:left;margin-left:0;margin-top:.3pt;width:562.65pt;height:168.95pt;z-index:251679744;mso-position-horizontal:center;mso-position-horizontal-relative:text;mso-position-vertical:absolute;mso-position-vertical-relative:text">
            <v:imagedata r:id="rId24" o:title=""/>
            <w10:wrap type="square"/>
          </v:shape>
          <o:OLEObject Type="Embed" ProgID="Excel.Sheet.12" ShapeID="_x0000_s1048" DrawAspect="Content" ObjectID="_1464600224" r:id="rId25"/>
        </w:pict>
      </w:r>
    </w:p>
    <w:p w:rsidR="003B4622" w:rsidRDefault="00E15A99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w:pict>
          <v:shape id="_x0000_s1049" type="#_x0000_t75" style="position:absolute;left:0;text-align:left;margin-left:-7.7pt;margin-top:29.55pt;width:528.5pt;height:111.75pt;z-index:251681792;mso-position-horizontal-relative:text;mso-position-vertical-relative:text">
            <v:imagedata r:id="rId26" o:title=""/>
            <w10:wrap type="square"/>
          </v:shape>
          <o:OLEObject Type="Embed" ProgID="Excel.Sheet.12" ShapeID="_x0000_s1049" DrawAspect="Content" ObjectID="_1464600225" r:id="rId27"/>
        </w:pict>
      </w:r>
    </w:p>
    <w:p w:rsidR="001C72E1" w:rsidRDefault="00427E42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7.2 — Descrição geral de </w:t>
      </w:r>
      <w:r w:rsidR="003F1545">
        <w:rPr>
          <w:rFonts w:ascii="Verdana" w:hAnsi="Verdana"/>
          <w:sz w:val="20"/>
        </w:rPr>
        <w:t xml:space="preserve">acordos de locações financeiras </w:t>
      </w:r>
      <w:r w:rsidRPr="00427E42">
        <w:rPr>
          <w:rFonts w:ascii="Verdana" w:hAnsi="Verdana"/>
          <w:sz w:val="20"/>
        </w:rPr>
        <w:t>e operacionais</w:t>
      </w:r>
      <w:r w:rsidR="003F1545">
        <w:rPr>
          <w:rFonts w:ascii="Verdana" w:hAnsi="Verdana"/>
          <w:sz w:val="20"/>
        </w:rPr>
        <w:t xml:space="preserve">: </w:t>
      </w:r>
    </w:p>
    <w:p w:rsidR="003F1545" w:rsidRDefault="003F1545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a)</w:t>
      </w: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b)</w:t>
      </w: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c)</w:t>
      </w: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d)</w:t>
      </w: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e)</w:t>
      </w: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1C72E1" w:rsidRDefault="001C72E1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3F1545" w:rsidRDefault="003F1545" w:rsidP="00E451EC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3F1545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3F1545">
        <w:rPr>
          <w:rFonts w:ascii="Verdana" w:hAnsi="Verdana"/>
          <w:b/>
          <w:sz w:val="20"/>
        </w:rPr>
        <w:t>8 — Inventários: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AF0C6E" w:rsidRDefault="004A4C5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8.1 — O</w:t>
      </w:r>
      <w:r w:rsidR="00427E42" w:rsidRPr="00427E42">
        <w:rPr>
          <w:rFonts w:ascii="Verdana" w:hAnsi="Verdana"/>
          <w:sz w:val="20"/>
        </w:rPr>
        <w:t xml:space="preserve"> sistema de inventário</w:t>
      </w:r>
      <w:r>
        <w:rPr>
          <w:rFonts w:ascii="Verdana" w:hAnsi="Verdana"/>
          <w:sz w:val="20"/>
        </w:rPr>
        <w:t xml:space="preserve"> usado foi o intermitente,</w:t>
      </w:r>
      <w:r w:rsidR="00427E42" w:rsidRPr="00427E42">
        <w:rPr>
          <w:rFonts w:ascii="Verdana" w:hAnsi="Verdana"/>
          <w:sz w:val="20"/>
        </w:rPr>
        <w:t xml:space="preserve"> e </w:t>
      </w:r>
      <w:r>
        <w:rPr>
          <w:rFonts w:ascii="Verdana" w:hAnsi="Verdana"/>
          <w:sz w:val="20"/>
        </w:rPr>
        <w:t xml:space="preserve">a </w:t>
      </w:r>
      <w:r w:rsidR="00427E42" w:rsidRPr="00427E42">
        <w:rPr>
          <w:rFonts w:ascii="Verdana" w:hAnsi="Verdana"/>
          <w:sz w:val="20"/>
        </w:rPr>
        <w:t>forma de</w:t>
      </w:r>
      <w:r w:rsidR="00AF0C6E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custeio utilizada foi </w:t>
      </w:r>
      <w:r w:rsidR="001C72E1">
        <w:rPr>
          <w:rFonts w:ascii="Verdana" w:hAnsi="Verdana"/>
          <w:sz w:val="20"/>
        </w:rPr>
        <w:t>o custo médio ponderado.</w:t>
      </w:r>
    </w:p>
    <w:p w:rsidR="001C72E1" w:rsidRDefault="001C72E1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8.2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ajustamento de inventários</w:t>
      </w:r>
      <w:r w:rsidR="00AF0C6E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reconhecid</w:t>
      </w:r>
      <w:r w:rsidR="004A4C55">
        <w:rPr>
          <w:rFonts w:ascii="Verdana" w:hAnsi="Verdana"/>
          <w:sz w:val="20"/>
        </w:rPr>
        <w:t>o</w:t>
      </w:r>
      <w:r w:rsidRPr="00427E42">
        <w:rPr>
          <w:rFonts w:ascii="Verdana" w:hAnsi="Verdana"/>
          <w:sz w:val="20"/>
        </w:rPr>
        <w:t xml:space="preserve"> como um gasto do período;</w:t>
      </w:r>
    </w:p>
    <w:p w:rsidR="00AF0C6E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8.3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reversão de ajustamento</w:t>
      </w:r>
      <w:r w:rsidR="00AF0C6E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reconhecida</w:t>
      </w:r>
      <w:r w:rsidRPr="00427E42">
        <w:rPr>
          <w:rFonts w:ascii="Verdana" w:hAnsi="Verdana"/>
          <w:sz w:val="20"/>
        </w:rPr>
        <w:t xml:space="preserve"> como uma redução na quantia</w:t>
      </w:r>
      <w:r w:rsidR="00AF0C6E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de inventários reconhecida como gasto do período;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8.4 — </w:t>
      </w:r>
      <w:r w:rsidR="004A4C55">
        <w:rPr>
          <w:rFonts w:ascii="Verdana" w:hAnsi="Verdana"/>
          <w:sz w:val="20"/>
        </w:rPr>
        <w:t>Não houve, durante o exercício,</w:t>
      </w:r>
      <w:r w:rsidR="004A4C55" w:rsidRPr="00427E42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inventários dados como</w:t>
      </w:r>
      <w:r w:rsidR="00AF0C6E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penhor de garantia a passivos e contingências.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AF0C6E" w:rsidRPr="00AF0C6E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9 — Rédito: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9.1 — Divulgar: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9.1 </w:t>
      </w:r>
      <w:r w:rsidR="00427E42" w:rsidRPr="00427E42">
        <w:rPr>
          <w:rFonts w:ascii="Verdana" w:hAnsi="Verdana"/>
          <w:sz w:val="20"/>
        </w:rPr>
        <w:t xml:space="preserve">a) </w:t>
      </w:r>
      <w:r w:rsidR="004A4C55">
        <w:rPr>
          <w:rFonts w:ascii="Verdana" w:hAnsi="Verdana"/>
          <w:sz w:val="20"/>
        </w:rPr>
        <w:t xml:space="preserve">Não houve transacções relacionadas com a fase de acabamento de prestações de serviços. / </w:t>
      </w:r>
      <w:proofErr w:type="gramStart"/>
      <w:r w:rsidR="004A4C55">
        <w:rPr>
          <w:rFonts w:ascii="Verdana" w:hAnsi="Verdana"/>
          <w:sz w:val="20"/>
        </w:rPr>
        <w:t>foram</w:t>
      </w:r>
      <w:proofErr w:type="gramEnd"/>
      <w:r w:rsidR="004A4C55">
        <w:rPr>
          <w:rFonts w:ascii="Verdana" w:hAnsi="Verdana"/>
          <w:sz w:val="20"/>
        </w:rPr>
        <w:t xml:space="preserve"> usados p</w:t>
      </w:r>
      <w:r w:rsidR="00427E42" w:rsidRPr="00427E42">
        <w:rPr>
          <w:rFonts w:ascii="Verdana" w:hAnsi="Verdana"/>
          <w:sz w:val="20"/>
        </w:rPr>
        <w:t>ara determinar a fase de</w:t>
      </w:r>
      <w:r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>acabamento de transacções que envolvam a prestação de</w:t>
      </w:r>
      <w:r w:rsidR="00E451EC">
        <w:rPr>
          <w:rFonts w:ascii="Verdana" w:hAnsi="Verdana"/>
          <w:sz w:val="20"/>
        </w:rPr>
        <w:t xml:space="preserve"> </w:t>
      </w:r>
      <w:r w:rsidR="004A4C55">
        <w:rPr>
          <w:rFonts w:ascii="Verdana" w:hAnsi="Verdana"/>
          <w:sz w:val="20"/>
        </w:rPr>
        <w:t>serviços, os seguintes métodos:</w:t>
      </w:r>
    </w:p>
    <w:p w:rsidR="004A4C55" w:rsidRPr="00427E42" w:rsidRDefault="004A4C5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-…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9.1 </w:t>
      </w:r>
      <w:r w:rsidR="00427E42" w:rsidRPr="00427E42">
        <w:rPr>
          <w:rFonts w:ascii="Verdana" w:hAnsi="Verdana"/>
          <w:sz w:val="20"/>
        </w:rPr>
        <w:t>b) A quantia de cada categoria significativa de rédito</w:t>
      </w:r>
      <w:r w:rsidR="00E451EC"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>reconhecida durante o período incluindo o rédito proveniente</w:t>
      </w:r>
      <w:r>
        <w:rPr>
          <w:rFonts w:ascii="Verdana" w:hAnsi="Verdana"/>
          <w:sz w:val="20"/>
        </w:rPr>
        <w:t xml:space="preserve"> </w:t>
      </w:r>
      <w:proofErr w:type="gramStart"/>
      <w:r w:rsidR="00427E42" w:rsidRPr="00427E42">
        <w:rPr>
          <w:rFonts w:ascii="Verdana" w:hAnsi="Verdana"/>
          <w:sz w:val="20"/>
        </w:rPr>
        <w:t>de</w:t>
      </w:r>
      <w:proofErr w:type="gramEnd"/>
      <w:r w:rsidR="00427E42" w:rsidRPr="00427E42">
        <w:rPr>
          <w:rFonts w:ascii="Verdana" w:hAnsi="Verdana"/>
          <w:sz w:val="20"/>
        </w:rPr>
        <w:t>:</w:t>
      </w: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i) Venda de bens</w:t>
      </w:r>
      <w:r w:rsidR="004A4C55">
        <w:rPr>
          <w:rFonts w:ascii="Verdana" w:hAnsi="Verdana"/>
          <w:sz w:val="20"/>
        </w:rPr>
        <w:t xml:space="preserve"> (0,00 euros</w:t>
      </w:r>
      <w:r w:rsidR="008570A0">
        <w:rPr>
          <w:rFonts w:ascii="Verdana" w:hAnsi="Verdana"/>
          <w:sz w:val="20"/>
        </w:rPr>
        <w:t>)</w:t>
      </w:r>
      <w:r w:rsidR="004A4C55">
        <w:rPr>
          <w:rFonts w:ascii="Verdana" w:hAnsi="Verdana"/>
          <w:sz w:val="20"/>
        </w:rPr>
        <w:t>.</w:t>
      </w:r>
    </w:p>
    <w:p w:rsidR="00427E42" w:rsidRPr="00427E42" w:rsidRDefault="004A4C5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ii</w:t>
      </w:r>
      <w:proofErr w:type="gramEnd"/>
      <w:r>
        <w:rPr>
          <w:rFonts w:ascii="Verdana" w:hAnsi="Verdana"/>
          <w:sz w:val="20"/>
        </w:rPr>
        <w:t>) Prestação de serviços (0,00 euros).</w:t>
      </w:r>
    </w:p>
    <w:p w:rsidR="00427E42" w:rsidRPr="00427E42" w:rsidRDefault="004A4C5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iii</w:t>
      </w:r>
      <w:proofErr w:type="gramEnd"/>
      <w:r>
        <w:rPr>
          <w:rFonts w:ascii="Verdana" w:hAnsi="Verdana"/>
          <w:sz w:val="20"/>
        </w:rPr>
        <w:t>) Juros (0,00 euros).</w:t>
      </w:r>
    </w:p>
    <w:p w:rsidR="00427E42" w:rsidRPr="00427E42" w:rsidRDefault="004A4C55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iv</w:t>
      </w:r>
      <w:proofErr w:type="gramEnd"/>
      <w:r>
        <w:rPr>
          <w:rFonts w:ascii="Verdana" w:hAnsi="Verdana"/>
          <w:sz w:val="20"/>
        </w:rPr>
        <w:t>) Royalties (0,00 euros).</w:t>
      </w:r>
    </w:p>
    <w:p w:rsidR="004A4C55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v) Dividendos</w:t>
      </w:r>
      <w:r w:rsidR="004A4C55">
        <w:rPr>
          <w:rFonts w:ascii="Verdana" w:hAnsi="Verdana"/>
          <w:sz w:val="20"/>
        </w:rPr>
        <w:t xml:space="preserve"> (0,00 euros)</w:t>
      </w:r>
    </w:p>
    <w:p w:rsidR="00427E42" w:rsidRPr="00427E42" w:rsidRDefault="008570A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vi</w:t>
      </w:r>
      <w:proofErr w:type="gramEnd"/>
      <w:r>
        <w:rPr>
          <w:rFonts w:ascii="Verdana" w:hAnsi="Verdana"/>
          <w:sz w:val="20"/>
        </w:rPr>
        <w:t>) ????????? (0,00 euros)</w:t>
      </w:r>
      <w:r w:rsidR="00427E42" w:rsidRPr="00427E42">
        <w:rPr>
          <w:rFonts w:ascii="Verdana" w:hAnsi="Verdana"/>
          <w:sz w:val="20"/>
        </w:rPr>
        <w:t>.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AF0C6E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10 — Provisões: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10.1 — Para cada classe de provisão, divulgar: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10.1 </w:t>
      </w:r>
      <w:r w:rsidR="00427E42" w:rsidRPr="00427E42">
        <w:rPr>
          <w:rFonts w:ascii="Verdana" w:hAnsi="Verdana"/>
          <w:sz w:val="20"/>
        </w:rPr>
        <w:t>a) A quantia escriturada no começo e no fim do período;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10.1 </w:t>
      </w:r>
      <w:r w:rsidR="00427E42" w:rsidRPr="00427E42">
        <w:rPr>
          <w:rFonts w:ascii="Verdana" w:hAnsi="Verdana"/>
          <w:sz w:val="20"/>
        </w:rPr>
        <w:t>b) As provisões adiciona</w:t>
      </w:r>
      <w:r w:rsidR="002F1290">
        <w:rPr>
          <w:rFonts w:ascii="Verdana" w:hAnsi="Verdana"/>
          <w:sz w:val="20"/>
        </w:rPr>
        <w:t xml:space="preserve">is feitas no período, incluindo </w:t>
      </w:r>
      <w:r w:rsidR="00427E42" w:rsidRPr="00427E42">
        <w:rPr>
          <w:rFonts w:ascii="Verdana" w:hAnsi="Verdana"/>
          <w:sz w:val="20"/>
        </w:rPr>
        <w:t>aumentos nas provisões existentes;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10.1 </w:t>
      </w:r>
      <w:r w:rsidR="00427E42" w:rsidRPr="00427E42">
        <w:rPr>
          <w:rFonts w:ascii="Verdana" w:hAnsi="Verdana"/>
          <w:sz w:val="20"/>
        </w:rPr>
        <w:t>c) As quantias usadas (isto é, incorridas e debitadas à</w:t>
      </w:r>
      <w:r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>provisão) durante o período;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10.1 </w:t>
      </w:r>
      <w:r w:rsidR="00427E42" w:rsidRPr="00427E42">
        <w:rPr>
          <w:rFonts w:ascii="Verdana" w:hAnsi="Verdana"/>
          <w:sz w:val="20"/>
        </w:rPr>
        <w:t>d) Quantias não usadas revertidas durante o período.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AF0C6E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11 — Subsídios do Governo: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11.1 — Devem ser divulgados os assuntos seguintes: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11.1 </w:t>
      </w:r>
      <w:r w:rsidR="00427E42" w:rsidRPr="00427E42">
        <w:rPr>
          <w:rFonts w:ascii="Verdana" w:hAnsi="Verdana"/>
          <w:sz w:val="20"/>
        </w:rPr>
        <w:t>a) A natureza e ex</w:t>
      </w:r>
      <w:r w:rsidR="001C72E1">
        <w:rPr>
          <w:rFonts w:ascii="Verdana" w:hAnsi="Verdana"/>
          <w:sz w:val="20"/>
        </w:rPr>
        <w:t>tensão dos subsídios do Governo</w:t>
      </w:r>
    </w:p>
    <w:p w:rsidR="001C72E1" w:rsidRPr="00CF01C9" w:rsidRDefault="00E15A99" w:rsidP="001C72E1">
      <w:pPr>
        <w:pStyle w:val="Ttulo"/>
        <w:rPr>
          <w:highlight w:val="lightGray"/>
        </w:rPr>
      </w:pPr>
      <w:r>
        <w:rPr>
          <w:noProof/>
        </w:rPr>
        <w:pict>
          <v:shape id="_x0000_s1034" type="#_x0000_t75" style="position:absolute;left:0;text-align:left;margin-left:0;margin-top:.3pt;width:552.85pt;height:126.9pt;z-index:251665408;mso-position-horizontal:center;mso-position-horizontal-relative:text;mso-position-vertical:absolute;mso-position-vertical-relative:text">
            <v:imagedata r:id="rId28" o:title=""/>
            <w10:wrap type="square"/>
          </v:shape>
          <o:OLEObject Type="Embed" ProgID="Excel.Sheet.12" ShapeID="_x0000_s1034" DrawAspect="Content" ObjectID="_1464600226" r:id="rId29"/>
        </w:pict>
      </w:r>
    </w:p>
    <w:p w:rsidR="001C72E1" w:rsidRPr="00427E42" w:rsidRDefault="001C72E1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11.1 </w:t>
      </w:r>
      <w:r w:rsidR="00427E42" w:rsidRPr="00427E42">
        <w:rPr>
          <w:rFonts w:ascii="Verdana" w:hAnsi="Verdana"/>
          <w:sz w:val="20"/>
        </w:rPr>
        <w:t>b) Condições não satisfeitas e outras contingências ligadas</w:t>
      </w:r>
      <w:r w:rsidR="00E451EC">
        <w:rPr>
          <w:rFonts w:ascii="Verdana" w:hAnsi="Verdana"/>
          <w:sz w:val="20"/>
        </w:rPr>
        <w:t xml:space="preserve"> </w:t>
      </w:r>
      <w:r w:rsidR="00427E42" w:rsidRPr="00427E42">
        <w:rPr>
          <w:rFonts w:ascii="Verdana" w:hAnsi="Verdana"/>
          <w:sz w:val="20"/>
        </w:rPr>
        <w:t xml:space="preserve">ao subsídio do Governo; </w:t>
      </w:r>
      <w:proofErr w:type="gramStart"/>
      <w:r w:rsidR="00427E42" w:rsidRPr="00427E42">
        <w:rPr>
          <w:rFonts w:ascii="Verdana" w:hAnsi="Verdana"/>
          <w:sz w:val="20"/>
        </w:rPr>
        <w:t>e</w:t>
      </w:r>
      <w:proofErr w:type="gramEnd"/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11.1 </w:t>
      </w:r>
      <w:r w:rsidR="00427E42" w:rsidRPr="00427E42">
        <w:rPr>
          <w:rFonts w:ascii="Verdana" w:hAnsi="Verdana"/>
          <w:sz w:val="20"/>
        </w:rPr>
        <w:t xml:space="preserve">c) Quantia de qualquer </w:t>
      </w:r>
      <w:r>
        <w:rPr>
          <w:rFonts w:ascii="Verdana" w:hAnsi="Verdana"/>
          <w:sz w:val="20"/>
        </w:rPr>
        <w:t xml:space="preserve">reembolso de subsídio que tenha </w:t>
      </w:r>
      <w:r w:rsidR="00427E42" w:rsidRPr="00427E42">
        <w:rPr>
          <w:rFonts w:ascii="Verdana" w:hAnsi="Verdana"/>
          <w:sz w:val="20"/>
        </w:rPr>
        <w:t>sido reconhecido como um gasto.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AF0C6E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12 — Impostos sobre o rendimento: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12.1 — Devem ser divulgados separadamente: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12.1 </w:t>
      </w:r>
      <w:r w:rsidR="008570A0">
        <w:rPr>
          <w:rFonts w:ascii="Verdana" w:hAnsi="Verdana"/>
          <w:sz w:val="20"/>
        </w:rPr>
        <w:t>a) Gasto / R</w:t>
      </w:r>
      <w:r w:rsidR="00427E42" w:rsidRPr="00427E42">
        <w:rPr>
          <w:rFonts w:ascii="Verdana" w:hAnsi="Verdana"/>
          <w:sz w:val="20"/>
        </w:rPr>
        <w:t xml:space="preserve">endimento </w:t>
      </w:r>
      <w:r w:rsidR="008570A0">
        <w:rPr>
          <w:rFonts w:ascii="Verdana" w:hAnsi="Verdana"/>
          <w:sz w:val="20"/>
        </w:rPr>
        <w:t xml:space="preserve">(0,00 euros) </w:t>
      </w:r>
      <w:r w:rsidR="00427E42" w:rsidRPr="00427E42">
        <w:rPr>
          <w:rFonts w:ascii="Verdana" w:hAnsi="Verdana"/>
          <w:sz w:val="20"/>
        </w:rPr>
        <w:t>por impostos sobre o rendimento;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12.1 </w:t>
      </w:r>
      <w:r w:rsidR="00427E42" w:rsidRPr="00427E42">
        <w:rPr>
          <w:rFonts w:ascii="Verdana" w:hAnsi="Verdana"/>
          <w:sz w:val="20"/>
        </w:rPr>
        <w:t xml:space="preserve">b) </w:t>
      </w:r>
      <w:r w:rsidR="008570A0">
        <w:rPr>
          <w:rFonts w:ascii="Verdana" w:hAnsi="Verdana"/>
          <w:sz w:val="20"/>
        </w:rPr>
        <w:t>Não houve, durante o exercício,</w:t>
      </w:r>
      <w:r w:rsidR="00427E42" w:rsidRPr="00427E42">
        <w:rPr>
          <w:rFonts w:ascii="Verdana" w:hAnsi="Verdana"/>
          <w:sz w:val="20"/>
        </w:rPr>
        <w:t xml:space="preserve"> ajust</w:t>
      </w:r>
      <w:r>
        <w:rPr>
          <w:rFonts w:ascii="Verdana" w:hAnsi="Verdana"/>
          <w:sz w:val="20"/>
        </w:rPr>
        <w:t xml:space="preserve">amentos reconhecidos no período </w:t>
      </w:r>
      <w:r w:rsidR="00427E42" w:rsidRPr="00427E42">
        <w:rPr>
          <w:rFonts w:ascii="Verdana" w:hAnsi="Verdana"/>
          <w:sz w:val="20"/>
        </w:rPr>
        <w:t>de impostos sobre o rendimento de períodos anteriores.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AF0C6E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AF0C6E">
        <w:rPr>
          <w:rFonts w:ascii="Verdana" w:hAnsi="Verdana"/>
          <w:b/>
          <w:sz w:val="20"/>
        </w:rPr>
        <w:t>13 — Activos e passivos financeiros: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13.1 — Quando activo</w:t>
      </w:r>
      <w:r w:rsidR="00AF0C6E">
        <w:rPr>
          <w:rFonts w:ascii="Verdana" w:hAnsi="Verdana"/>
          <w:sz w:val="20"/>
        </w:rPr>
        <w:t xml:space="preserve">s financeiros tenham sido dados </w:t>
      </w:r>
      <w:r w:rsidRPr="00427E42">
        <w:rPr>
          <w:rFonts w:ascii="Verdana" w:hAnsi="Verdana"/>
          <w:sz w:val="20"/>
        </w:rPr>
        <w:t>em garantia, penhor ou promessa de penhor, divulgar: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13.1 </w:t>
      </w:r>
      <w:r w:rsidR="00427E42" w:rsidRPr="00427E42">
        <w:rPr>
          <w:rFonts w:ascii="Verdana" w:hAnsi="Verdana"/>
          <w:sz w:val="20"/>
        </w:rPr>
        <w:t>a) A quantia escriturada de tais activos financeiros;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13.1 </w:t>
      </w:r>
      <w:r w:rsidR="00427E42" w:rsidRPr="00427E42">
        <w:rPr>
          <w:rFonts w:ascii="Verdana" w:hAnsi="Verdana"/>
          <w:sz w:val="20"/>
        </w:rPr>
        <w:t>b) Os termos e condiçõ</w:t>
      </w:r>
      <w:r>
        <w:rPr>
          <w:rFonts w:ascii="Verdana" w:hAnsi="Verdana"/>
          <w:sz w:val="20"/>
        </w:rPr>
        <w:t xml:space="preserve">es relativos à garantia, penhor </w:t>
      </w:r>
      <w:r w:rsidR="00427E42" w:rsidRPr="00427E42">
        <w:rPr>
          <w:rFonts w:ascii="Verdana" w:hAnsi="Verdana"/>
          <w:sz w:val="20"/>
        </w:rPr>
        <w:t>ou promessa de penhor.</w:t>
      </w:r>
    </w:p>
    <w:p w:rsidR="00AF0C6E" w:rsidRDefault="00AF0C6E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13.2 — Para empréstimos contraídos reconhecidos à</w:t>
      </w:r>
      <w:r w:rsidR="00AF0C6E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data do balanço, divulgar as situações de incumprimento.</w:t>
      </w:r>
    </w:p>
    <w:p w:rsidR="00976E39" w:rsidRDefault="00E15A99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>
        <w:rPr>
          <w:rFonts w:ascii="Verdana" w:eastAsia="Times New Roman" w:hAnsi="Verdana" w:cs="Times New Roman"/>
          <w:b/>
          <w:bCs/>
          <w:noProof/>
          <w:sz w:val="18"/>
          <w:szCs w:val="18"/>
        </w:rPr>
        <w:pict>
          <v:shape id="_x0000_s1035" type="#_x0000_t75" style="position:absolute;left:0;text-align:left;margin-left:0;margin-top:31.65pt;width:527.9pt;height:143.75pt;z-index:251667456;mso-position-horizontal:center;mso-position-horizontal-relative:text;mso-position-vertical-relative:text">
            <v:imagedata r:id="rId30" o:title=""/>
            <w10:wrap type="square"/>
          </v:shape>
          <o:OLEObject Type="Embed" ProgID="Excel.Sheet.12" ShapeID="_x0000_s1035" DrawAspect="Content" ObjectID="_1464600227" r:id="rId31"/>
        </w:pict>
      </w:r>
    </w:p>
    <w:p w:rsidR="002F1290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13.3 — Por cada natureza de activos finance</w:t>
      </w:r>
      <w:r w:rsidR="00976E39">
        <w:rPr>
          <w:rFonts w:ascii="Verdana" w:hAnsi="Verdana"/>
          <w:sz w:val="20"/>
        </w:rPr>
        <w:t xml:space="preserve">iros em </w:t>
      </w:r>
      <w:r w:rsidRPr="00427E42">
        <w:rPr>
          <w:rFonts w:ascii="Verdana" w:hAnsi="Verdana"/>
          <w:sz w:val="20"/>
        </w:rPr>
        <w:t>imparidade, divulgar:</w:t>
      </w:r>
    </w:p>
    <w:p w:rsidR="001338F2" w:rsidRDefault="001338F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E15A99" w:rsidRDefault="00E15A99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13.4 — Por cada natureza d</w:t>
      </w:r>
      <w:r w:rsidR="00976E39">
        <w:rPr>
          <w:rFonts w:ascii="Verdana" w:hAnsi="Verdana"/>
          <w:sz w:val="20"/>
        </w:rPr>
        <w:t xml:space="preserve">e activos financeiros, divulgar </w:t>
      </w:r>
      <w:r w:rsidRPr="00427E42">
        <w:rPr>
          <w:rFonts w:ascii="Verdana" w:hAnsi="Verdana"/>
          <w:sz w:val="20"/>
        </w:rPr>
        <w:t>as quantias reconhec</w:t>
      </w:r>
      <w:r w:rsidR="00976E39">
        <w:rPr>
          <w:rFonts w:ascii="Verdana" w:hAnsi="Verdana"/>
          <w:sz w:val="20"/>
        </w:rPr>
        <w:t xml:space="preserve">idas como gastos no período por </w:t>
      </w:r>
      <w:r w:rsidRPr="00427E42">
        <w:rPr>
          <w:rFonts w:ascii="Verdana" w:hAnsi="Verdana"/>
          <w:sz w:val="20"/>
        </w:rPr>
        <w:t>se terem tornado irrecuperáveis.</w:t>
      </w:r>
    </w:p>
    <w:p w:rsidR="00976E39" w:rsidRDefault="00976E39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976E39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976E39">
        <w:rPr>
          <w:rFonts w:ascii="Verdana" w:hAnsi="Verdana"/>
          <w:b/>
          <w:sz w:val="20"/>
        </w:rPr>
        <w:t>14 — Capital próprio:</w:t>
      </w: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14.1 — </w:t>
      </w:r>
      <w:r w:rsidR="008570A0">
        <w:rPr>
          <w:rFonts w:ascii="Verdana" w:hAnsi="Verdana"/>
          <w:sz w:val="20"/>
        </w:rPr>
        <w:t xml:space="preserve">Não houve movimentos na conta de capital social. / </w:t>
      </w:r>
      <w:r w:rsidRPr="00427E42">
        <w:rPr>
          <w:rFonts w:ascii="Verdana" w:hAnsi="Verdana"/>
          <w:sz w:val="20"/>
        </w:rPr>
        <w:t>Forma como se r</w:t>
      </w:r>
      <w:r w:rsidR="00976E39">
        <w:rPr>
          <w:rFonts w:ascii="Verdana" w:hAnsi="Verdana"/>
          <w:sz w:val="20"/>
        </w:rPr>
        <w:t xml:space="preserve">ealizou o capital social e seus </w:t>
      </w:r>
      <w:r w:rsidRPr="00427E42">
        <w:rPr>
          <w:rFonts w:ascii="Verdana" w:hAnsi="Verdana"/>
          <w:sz w:val="20"/>
        </w:rPr>
        <w:t>aumentos ou reduções, ape</w:t>
      </w:r>
      <w:r w:rsidR="00976E39">
        <w:rPr>
          <w:rFonts w:ascii="Verdana" w:hAnsi="Verdana"/>
          <w:sz w:val="20"/>
        </w:rPr>
        <w:t xml:space="preserve">nas no exercício em que tiveram </w:t>
      </w:r>
      <w:r w:rsidRPr="00427E42">
        <w:rPr>
          <w:rFonts w:ascii="Verdana" w:hAnsi="Verdana"/>
          <w:sz w:val="20"/>
        </w:rPr>
        <w:t>lugar;</w:t>
      </w:r>
    </w:p>
    <w:p w:rsidR="00976E39" w:rsidRDefault="00976E39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14.2 — </w:t>
      </w:r>
      <w:r w:rsidR="008570A0">
        <w:rPr>
          <w:rFonts w:ascii="Verdana" w:hAnsi="Verdana"/>
          <w:sz w:val="20"/>
        </w:rPr>
        <w:t xml:space="preserve">Não houve, durante o exercício, subscrições de capital da sociedade. / </w:t>
      </w:r>
      <w:r w:rsidRPr="00427E42">
        <w:rPr>
          <w:rFonts w:ascii="Verdana" w:hAnsi="Verdana"/>
          <w:sz w:val="20"/>
        </w:rPr>
        <w:t xml:space="preserve">Número e </w:t>
      </w:r>
      <w:r w:rsidR="00976E39">
        <w:rPr>
          <w:rFonts w:ascii="Verdana" w:hAnsi="Verdana"/>
          <w:sz w:val="20"/>
        </w:rPr>
        <w:t xml:space="preserve">valor nominal das acções/quotas </w:t>
      </w:r>
      <w:r w:rsidRPr="00427E42">
        <w:rPr>
          <w:rFonts w:ascii="Verdana" w:hAnsi="Verdana"/>
          <w:sz w:val="20"/>
        </w:rPr>
        <w:t>subscritas no capital, durante o exercício;</w:t>
      </w:r>
    </w:p>
    <w:p w:rsidR="00976E39" w:rsidRDefault="00976E39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 xml:space="preserve">14.3 — </w:t>
      </w:r>
      <w:r w:rsidR="008570A0">
        <w:rPr>
          <w:rFonts w:ascii="Verdana" w:hAnsi="Verdana"/>
          <w:sz w:val="20"/>
        </w:rPr>
        <w:t xml:space="preserve">Os movimentos nas rúbricas de capitais são a aplicação de resultados do exercício anterior, conforme deliberação da assembleia geral, </w:t>
      </w:r>
      <w:proofErr w:type="gramStart"/>
      <w:r w:rsidR="008570A0">
        <w:rPr>
          <w:rFonts w:ascii="Verdana" w:hAnsi="Verdana"/>
          <w:sz w:val="20"/>
        </w:rPr>
        <w:t>e</w:t>
      </w:r>
      <w:proofErr w:type="gramEnd"/>
      <w:r w:rsidR="008570A0">
        <w:rPr>
          <w:rFonts w:ascii="Verdana" w:hAnsi="Verdana"/>
          <w:sz w:val="20"/>
        </w:rPr>
        <w:t xml:space="preserve"> …</w:t>
      </w:r>
    </w:p>
    <w:p w:rsidR="008570A0" w:rsidRPr="00427E42" w:rsidRDefault="008570A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976E39" w:rsidRDefault="00976E39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Pr="00976E39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976E39">
        <w:rPr>
          <w:rFonts w:ascii="Verdana" w:hAnsi="Verdana"/>
          <w:b/>
          <w:sz w:val="20"/>
        </w:rPr>
        <w:t>15 — Divulgações exigidas por outros diplomas legais:</w:t>
      </w:r>
    </w:p>
    <w:p w:rsidR="002F1290" w:rsidRDefault="002F1290" w:rsidP="00430582">
      <w:pPr>
        <w:pStyle w:val="Corpodetexto"/>
        <w:spacing w:after="0"/>
        <w:jc w:val="both"/>
        <w:rPr>
          <w:rFonts w:ascii="Verdana" w:hAnsi="Verdana"/>
          <w:sz w:val="20"/>
        </w:rPr>
      </w:pPr>
    </w:p>
    <w:p w:rsidR="00976E39" w:rsidRDefault="00976E39" w:rsidP="00430582">
      <w:pPr>
        <w:pStyle w:val="Corpodetexto"/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15.1 — Impostos em Situação de Mora</w:t>
      </w:r>
    </w:p>
    <w:p w:rsidR="00427E42" w:rsidRPr="000F2AB1" w:rsidRDefault="00E15A99" w:rsidP="000F2AB1">
      <w:pPr>
        <w:pStyle w:val="Corpodetexto"/>
        <w:autoSpaceDE w:val="0"/>
        <w:spacing w:after="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pict>
          <v:shape id="_x0000_s1031" type="#_x0000_t75" style="position:absolute;left:0;text-align:left;margin-left:0;margin-top:.3pt;width:539.7pt;height:111.75pt;z-index:251663360;mso-position-horizontal:center;mso-position-horizontal-relative:text;mso-position-vertical:absolute;mso-position-vertical-relative:text">
            <v:imagedata r:id="rId32" o:title=""/>
            <w10:wrap type="square"/>
          </v:shape>
          <o:OLEObject Type="Embed" ProgID="Excel.Sheet.12" ShapeID="_x0000_s1031" DrawAspect="Content" ObjectID="_1464600228" r:id="rId33"/>
        </w:pict>
      </w:r>
    </w:p>
    <w:p w:rsidR="000F2AB1" w:rsidRDefault="000F2AB1" w:rsidP="000F2AB1">
      <w:pPr>
        <w:widowControl/>
        <w:suppressAutoHyphens w:val="0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X.X – O</w:t>
      </w:r>
      <w:r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perações não incluídas no balanço</w:t>
      </w: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.</w:t>
      </w:r>
    </w:p>
    <w:p w:rsidR="000F2AB1" w:rsidRDefault="000F2AB1" w:rsidP="000F2AB1">
      <w:pPr>
        <w:widowControl/>
        <w:suppressAutoHyphens w:val="0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Default="000F2AB1" w:rsidP="000F2AB1">
      <w:pPr>
        <w:widowControl/>
        <w:suppressAutoHyphens w:val="0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X.X.X – N</w:t>
      </w:r>
      <w:r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atu</w:t>
      </w: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reza e o objectivo comercial</w:t>
      </w:r>
    </w:p>
    <w:p w:rsidR="000F2AB1" w:rsidRDefault="000F2AB1" w:rsidP="000F2AB1">
      <w:pPr>
        <w:widowControl/>
        <w:suppressAutoHyphens w:val="0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Default="000F2AB1" w:rsidP="000F2AB1">
      <w:pPr>
        <w:widowControl/>
        <w:suppressAutoHyphens w:val="0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X.X.X – R</w:t>
      </w:r>
      <w:r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espectivo impacte financeiro, </w:t>
      </w:r>
    </w:p>
    <w:p w:rsidR="000F2AB1" w:rsidRDefault="000F2AB1" w:rsidP="000F2AB1">
      <w:pPr>
        <w:widowControl/>
        <w:suppressAutoHyphens w:val="0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Pr="000F2AB1" w:rsidRDefault="000F2AB1" w:rsidP="000F2AB1">
      <w:pPr>
        <w:widowControl/>
        <w:suppressAutoHyphens w:val="0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X.X.X. – R</w:t>
      </w:r>
      <w:r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iscos ou os benefícios resultantes de tais operações sejam relevantes e na medida em que a divulgação de tais riscos ou benefícios seja necessária para efeitos de avaliação da situação financeira da sociedade; </w:t>
      </w:r>
    </w:p>
    <w:p w:rsidR="000F2AB1" w:rsidRDefault="000F2AB1" w:rsidP="000F2AB1">
      <w:pPr>
        <w:widowControl/>
        <w:suppressAutoHyphens w:val="0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F20E80" w:rsidRDefault="00F20E80" w:rsidP="00F20E80">
      <w:pPr>
        <w:widowControl/>
        <w:suppressAutoHyphens w:val="0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X.X 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Separadamente, sobre os honorários totais facturados durante o exercício financeiro </w:t>
      </w:r>
      <w:proofErr w:type="gramStart"/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pelo</w:t>
      </w: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s</w:t>
      </w:r>
      <w:proofErr w:type="gramEnd"/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;</w:t>
      </w:r>
    </w:p>
    <w:p w:rsidR="00F20E80" w:rsidRDefault="00F20E80" w:rsidP="00F20E80">
      <w:pPr>
        <w:widowControl/>
        <w:suppressAutoHyphens w:val="0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Pr="000F2AB1" w:rsidRDefault="00F20E80" w:rsidP="00F20E80">
      <w:pPr>
        <w:widowControl/>
        <w:suppressAutoHyphens w:val="0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X.X.X –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 </w:t>
      </w: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O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utros serviços de garantia de fiabilidade</w:t>
      </w:r>
    </w:p>
    <w:p w:rsidR="00F20E80" w:rsidRDefault="00F20E80" w:rsidP="00F20E80">
      <w:pPr>
        <w:widowControl/>
        <w:suppressAutoHyphens w:val="0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F20E80" w:rsidRDefault="00F20E80" w:rsidP="00F20E80">
      <w:pPr>
        <w:widowControl/>
        <w:suppressAutoHyphens w:val="0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X.X.X –</w:t>
      </w:r>
      <w:proofErr w:type="gramStart"/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C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onsultoria</w:t>
      </w:r>
      <w:proofErr w:type="gramEnd"/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 fiscal </w:t>
      </w:r>
    </w:p>
    <w:p w:rsidR="00F20E80" w:rsidRDefault="00F20E80" w:rsidP="00F20E80">
      <w:pPr>
        <w:widowControl/>
        <w:suppressAutoHyphens w:val="0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0F2AB1" w:rsidRPr="000F2AB1" w:rsidRDefault="00F20E80" w:rsidP="00F20E80">
      <w:pPr>
        <w:widowControl/>
        <w:suppressAutoHyphens w:val="0"/>
        <w:textAlignment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  <w:r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>X.X.X - S</w:t>
      </w:r>
      <w:r w:rsidR="000F2AB1" w:rsidRPr="000F2AB1"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  <w:t xml:space="preserve">erviços que não sejam de revisão ou auditoria. </w:t>
      </w:r>
    </w:p>
    <w:p w:rsidR="000F2AB1" w:rsidRDefault="000F2AB1" w:rsidP="000F2AB1">
      <w:pPr>
        <w:widowControl/>
        <w:suppressAutoHyphens w:val="0"/>
        <w:rPr>
          <w:rFonts w:ascii="Verdana" w:eastAsia="Times New Roman" w:hAnsi="Verdana" w:cs="Times New Roman"/>
          <w:color w:val="000000"/>
          <w:kern w:val="0"/>
          <w:sz w:val="18"/>
          <w:szCs w:val="18"/>
          <w:lang w:eastAsia="pt-PT" w:bidi="ar-SA"/>
        </w:rPr>
      </w:pPr>
    </w:p>
    <w:p w:rsidR="00F20E80" w:rsidRPr="00F20E80" w:rsidRDefault="00F20E80" w:rsidP="00F20E80">
      <w:pPr>
        <w:pStyle w:val="Subttulo"/>
      </w:pPr>
      <w:r w:rsidRPr="00F20E80">
        <w:t>X.X – Transacções entre partes relacionadas:</w:t>
      </w:r>
    </w:p>
    <w:p w:rsidR="00F20E80" w:rsidRPr="00CF01C9" w:rsidRDefault="00E15A99" w:rsidP="00F20E80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t-PT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lastRenderedPageBreak/>
        <w:pict>
          <v:shape id="_x0000_s1030" type="#_x0000_t75" style="position:absolute;left:0;text-align:left;margin-left:0;margin-top:.3pt;width:484.5pt;height:404.1pt;z-index:251661312;mso-position-horizontal:center;mso-position-horizontal-relative:text;mso-position-vertical:absolute;mso-position-vertical-relative:text">
            <v:imagedata r:id="rId34" o:title=""/>
            <w10:wrap type="square"/>
          </v:shape>
          <o:OLEObject Type="Embed" ProgID="Excel.Sheet.12" ShapeID="_x0000_s1030" DrawAspect="Content" ObjectID="_1464600229" r:id="rId35"/>
        </w:pict>
      </w:r>
    </w:p>
    <w:p w:rsidR="00F20E80" w:rsidRDefault="00F20E80" w:rsidP="00F20E80">
      <w:pPr>
        <w:pStyle w:val="Subttulo"/>
      </w:pPr>
    </w:p>
    <w:p w:rsidR="00F20E80" w:rsidRPr="00CF01C9" w:rsidRDefault="00F20E80" w:rsidP="00F20E80">
      <w:pPr>
        <w:pStyle w:val="Subttulo"/>
      </w:pPr>
      <w:r w:rsidRPr="00CF01C9">
        <w:t>X.X – Empréstimos obtidos entre partes relacionadas</w:t>
      </w:r>
    </w:p>
    <w:p w:rsidR="00F20E80" w:rsidRPr="00CF01C9" w:rsidRDefault="00E15A99" w:rsidP="00F20E8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pict>
          <v:shape id="_x0000_s1029" type="#_x0000_t75" style="position:absolute;left:0;text-align:left;margin-left:0;margin-top:0;width:446.15pt;height:105.3pt;z-index:251659264;mso-position-horizontal:center;mso-position-horizontal-relative:text;mso-position-vertical:absolute;mso-position-vertical-relative:text">
            <v:imagedata r:id="rId36" o:title=""/>
            <w10:wrap type="square"/>
          </v:shape>
          <o:OLEObject Type="Embed" ProgID="Excel.Sheet.12" ShapeID="_x0000_s1029" DrawAspect="Content" ObjectID="_1464600230" r:id="rId37"/>
        </w:pict>
      </w:r>
    </w:p>
    <w:p w:rsidR="00976E39" w:rsidRDefault="00976E39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2F1290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bookmarkStart w:id="0" w:name="_GoBack"/>
      <w:bookmarkEnd w:id="0"/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</w:p>
    <w:p w:rsidR="008E7F11" w:rsidRDefault="008E7F11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  <w:r w:rsidRPr="00976E39">
        <w:rPr>
          <w:rFonts w:ascii="Verdana" w:hAnsi="Verdana"/>
          <w:b/>
          <w:sz w:val="20"/>
        </w:rPr>
        <w:t>16 — Outras informações:</w:t>
      </w:r>
    </w:p>
    <w:p w:rsidR="002F1290" w:rsidRPr="00976E39" w:rsidRDefault="002F1290" w:rsidP="00430582">
      <w:pPr>
        <w:pStyle w:val="Corpodetexto"/>
        <w:autoSpaceDE w:val="0"/>
        <w:spacing w:after="0"/>
        <w:jc w:val="both"/>
        <w:rPr>
          <w:rFonts w:ascii="Verdana" w:hAnsi="Verdana"/>
          <w:b/>
          <w:sz w:val="20"/>
        </w:rPr>
      </w:pPr>
    </w:p>
    <w:p w:rsidR="002A3D18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  <w:r w:rsidRPr="00427E42">
        <w:rPr>
          <w:rFonts w:ascii="Verdana" w:hAnsi="Verdana"/>
          <w:sz w:val="20"/>
        </w:rPr>
        <w:t>(Divulgações consideradas relevantes para melhor compreensão</w:t>
      </w:r>
      <w:r w:rsidR="00E451EC">
        <w:rPr>
          <w:rFonts w:ascii="Verdana" w:hAnsi="Verdana"/>
          <w:sz w:val="20"/>
        </w:rPr>
        <w:t xml:space="preserve"> </w:t>
      </w:r>
      <w:r w:rsidRPr="00427E42">
        <w:rPr>
          <w:rFonts w:ascii="Verdana" w:hAnsi="Verdana"/>
          <w:sz w:val="20"/>
        </w:rPr>
        <w:t>da posição financeira e dos resultados.)</w:t>
      </w: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hAnsi="Verdana"/>
          <w:sz w:val="20"/>
        </w:rPr>
      </w:pPr>
    </w:p>
    <w:p w:rsidR="00427E42" w:rsidRDefault="00427E42" w:rsidP="00430582">
      <w:pPr>
        <w:pStyle w:val="Corpodetexto"/>
        <w:autoSpaceDE w:val="0"/>
        <w:spacing w:after="0"/>
        <w:jc w:val="both"/>
        <w:rPr>
          <w:rFonts w:ascii="Verdana" w:eastAsia="TimesNewRomanPSMT" w:hAnsi="Verdana"/>
          <w:sz w:val="20"/>
        </w:rPr>
      </w:pPr>
    </w:p>
    <w:p w:rsidR="002A3D18" w:rsidRDefault="002A3D18" w:rsidP="00E451EC">
      <w:pPr>
        <w:pStyle w:val="Corpodetexto"/>
        <w:autoSpaceDE w:val="0"/>
        <w:spacing w:after="0"/>
        <w:jc w:val="both"/>
        <w:rPr>
          <w:rFonts w:ascii="Verdana" w:eastAsia="TimesNewRomanPSMT" w:hAnsi="Verdana"/>
          <w:sz w:val="20"/>
        </w:rPr>
      </w:pPr>
      <w:r>
        <w:rPr>
          <w:rFonts w:ascii="Verdana" w:eastAsia="TimesNewRomanPSMT" w:hAnsi="Verdana"/>
          <w:sz w:val="20"/>
        </w:rPr>
        <w:t>Localidade, 1</w:t>
      </w:r>
      <w:r w:rsidR="00C16D99">
        <w:rPr>
          <w:rFonts w:ascii="Verdana" w:eastAsia="TimesNewRomanPSMT" w:hAnsi="Verdana"/>
          <w:sz w:val="20"/>
        </w:rPr>
        <w:t>4</w:t>
      </w:r>
      <w:r>
        <w:rPr>
          <w:rFonts w:ascii="Verdana" w:eastAsia="TimesNewRomanPSMT" w:hAnsi="Verdana"/>
          <w:sz w:val="20"/>
        </w:rPr>
        <w:t xml:space="preserve"> de Março de 201</w:t>
      </w:r>
      <w:r w:rsidR="00375F89">
        <w:rPr>
          <w:rFonts w:ascii="Verdana" w:eastAsia="TimesNewRomanPSMT" w:hAnsi="Verdana"/>
          <w:sz w:val="20"/>
        </w:rPr>
        <w:t>4</w:t>
      </w:r>
    </w:p>
    <w:p w:rsidR="002A3D18" w:rsidRDefault="002A3D18" w:rsidP="00E451EC">
      <w:pPr>
        <w:pStyle w:val="Corpodetexto"/>
        <w:autoSpaceDE w:val="0"/>
        <w:spacing w:after="0"/>
        <w:jc w:val="both"/>
        <w:rPr>
          <w:rFonts w:ascii="Verdana" w:eastAsia="TimesNewRomanPSMT" w:hAnsi="Verdana"/>
          <w:sz w:val="20"/>
        </w:rPr>
      </w:pPr>
    </w:p>
    <w:p w:rsidR="002A3D18" w:rsidRDefault="002A3D18" w:rsidP="00E451EC">
      <w:pPr>
        <w:pStyle w:val="Corpodetexto"/>
        <w:autoSpaceDE w:val="0"/>
        <w:spacing w:after="0"/>
        <w:jc w:val="center"/>
        <w:rPr>
          <w:rFonts w:ascii="Verdana" w:eastAsia="TimesNewRomanPSMT" w:hAnsi="Verdana"/>
          <w:sz w:val="20"/>
        </w:rPr>
      </w:pPr>
      <w:r>
        <w:rPr>
          <w:rFonts w:ascii="Verdana" w:eastAsia="TimesNewRomanPSMT" w:hAnsi="Verdana"/>
          <w:sz w:val="20"/>
        </w:rPr>
        <w:t>O Técnico Oficial de Contas</w:t>
      </w:r>
      <w:r>
        <w:rPr>
          <w:rFonts w:ascii="Verdana" w:eastAsia="TimesNewRomanPSMT" w:hAnsi="Verdana"/>
          <w:sz w:val="20"/>
        </w:rPr>
        <w:tab/>
      </w:r>
      <w:r>
        <w:rPr>
          <w:rFonts w:ascii="Verdana" w:eastAsia="TimesNewRomanPSMT" w:hAnsi="Verdana"/>
          <w:sz w:val="20"/>
        </w:rPr>
        <w:tab/>
      </w:r>
      <w:r>
        <w:rPr>
          <w:rFonts w:ascii="Verdana" w:eastAsia="TimesNewRomanPSMT" w:hAnsi="Verdana"/>
          <w:sz w:val="20"/>
        </w:rPr>
        <w:tab/>
      </w:r>
      <w:r>
        <w:rPr>
          <w:rFonts w:ascii="Verdana" w:eastAsia="TimesNewRomanPSMT" w:hAnsi="Verdana"/>
          <w:sz w:val="20"/>
        </w:rPr>
        <w:tab/>
        <w:t>A Gerência</w:t>
      </w:r>
    </w:p>
    <w:sectPr w:rsidR="002A3D18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1134" w:right="1134" w:bottom="1134" w:left="1134" w:header="720" w:footer="40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49D" w:rsidRDefault="00C5649D">
      <w:r>
        <w:separator/>
      </w:r>
    </w:p>
  </w:endnote>
  <w:endnote w:type="continuationSeparator" w:id="0">
    <w:p w:rsidR="00C5649D" w:rsidRDefault="00C56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NewRomanPSMT"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CA5" w:rsidRDefault="00A16C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C63" w:rsidRDefault="00743C63">
    <w:pPr>
      <w:pStyle w:val="Rodap"/>
      <w:pBdr>
        <w:bottom w:val="single" w:sz="8" w:space="1" w:color="000000"/>
      </w:pBdr>
      <w:rPr>
        <w:rFonts w:ascii="Courier New" w:hAnsi="Courier New"/>
        <w:b/>
        <w:sz w:val="16"/>
      </w:rPr>
    </w:pPr>
  </w:p>
  <w:p w:rsidR="00743C63" w:rsidRPr="002F1290" w:rsidRDefault="00743C63">
    <w:pPr>
      <w:pStyle w:val="Rodap"/>
      <w:jc w:val="center"/>
      <w:rPr>
        <w:rFonts w:ascii="Verdana" w:hAnsi="Verdana"/>
        <w:sz w:val="12"/>
        <w:szCs w:val="12"/>
      </w:rPr>
    </w:pPr>
    <w:r w:rsidRPr="002F1290">
      <w:rPr>
        <w:rFonts w:ascii="Verdana" w:hAnsi="Verdana"/>
        <w:b/>
        <w:sz w:val="12"/>
        <w:szCs w:val="12"/>
      </w:rPr>
      <w:t xml:space="preserve">Página </w:t>
    </w:r>
    <w:r w:rsidRPr="002F1290">
      <w:rPr>
        <w:rFonts w:ascii="Verdana" w:hAnsi="Verdana"/>
        <w:b/>
        <w:sz w:val="12"/>
        <w:szCs w:val="12"/>
      </w:rPr>
      <w:fldChar w:fldCharType="begin"/>
    </w:r>
    <w:r w:rsidRPr="002F1290">
      <w:rPr>
        <w:rFonts w:ascii="Verdana" w:hAnsi="Verdana"/>
        <w:b/>
        <w:sz w:val="12"/>
        <w:szCs w:val="12"/>
      </w:rPr>
      <w:instrText xml:space="preserve"> PAGE </w:instrText>
    </w:r>
    <w:r w:rsidRPr="002F1290">
      <w:rPr>
        <w:rFonts w:ascii="Verdana" w:hAnsi="Verdana"/>
        <w:b/>
        <w:sz w:val="12"/>
        <w:szCs w:val="12"/>
      </w:rPr>
      <w:fldChar w:fldCharType="separate"/>
    </w:r>
    <w:r w:rsidR="00E15A99">
      <w:rPr>
        <w:rFonts w:ascii="Verdana" w:hAnsi="Verdana"/>
        <w:b/>
        <w:noProof/>
        <w:sz w:val="12"/>
        <w:szCs w:val="12"/>
      </w:rPr>
      <w:t>10</w:t>
    </w:r>
    <w:r w:rsidRPr="002F1290">
      <w:rPr>
        <w:rFonts w:ascii="Verdana" w:hAnsi="Verdana"/>
        <w:b/>
        <w:sz w:val="12"/>
        <w:szCs w:val="12"/>
      </w:rPr>
      <w:fldChar w:fldCharType="end"/>
    </w:r>
    <w:r w:rsidRPr="002F1290">
      <w:rPr>
        <w:rFonts w:ascii="Verdana" w:hAnsi="Verdana"/>
        <w:b/>
        <w:sz w:val="12"/>
        <w:szCs w:val="12"/>
      </w:rPr>
      <w:t xml:space="preserve"> de </w:t>
    </w:r>
    <w:r w:rsidRPr="002F1290">
      <w:rPr>
        <w:rFonts w:ascii="Verdana" w:hAnsi="Verdana"/>
        <w:b/>
        <w:sz w:val="12"/>
        <w:szCs w:val="12"/>
      </w:rPr>
      <w:fldChar w:fldCharType="begin"/>
    </w:r>
    <w:r w:rsidRPr="002F1290">
      <w:rPr>
        <w:rFonts w:ascii="Verdana" w:hAnsi="Verdana"/>
        <w:b/>
        <w:sz w:val="12"/>
        <w:szCs w:val="12"/>
      </w:rPr>
      <w:instrText xml:space="preserve"> NUMPAGES </w:instrText>
    </w:r>
    <w:r w:rsidRPr="002F1290">
      <w:rPr>
        <w:rFonts w:ascii="Verdana" w:hAnsi="Verdana"/>
        <w:b/>
        <w:sz w:val="12"/>
        <w:szCs w:val="12"/>
      </w:rPr>
      <w:fldChar w:fldCharType="separate"/>
    </w:r>
    <w:r w:rsidR="00E15A99">
      <w:rPr>
        <w:rFonts w:ascii="Verdana" w:hAnsi="Verdana"/>
        <w:b/>
        <w:noProof/>
        <w:sz w:val="12"/>
        <w:szCs w:val="12"/>
      </w:rPr>
      <w:t>10</w:t>
    </w:r>
    <w:r w:rsidRPr="002F1290">
      <w:rPr>
        <w:rFonts w:ascii="Verdana" w:hAnsi="Verdana"/>
        <w:b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CA5" w:rsidRDefault="00A16CA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49D" w:rsidRDefault="00C5649D">
      <w:r>
        <w:separator/>
      </w:r>
    </w:p>
  </w:footnote>
  <w:footnote w:type="continuationSeparator" w:id="0">
    <w:p w:rsidR="00C5649D" w:rsidRDefault="00C56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CA5" w:rsidRDefault="00A16CA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C63" w:rsidRPr="002F1290" w:rsidRDefault="00743C63" w:rsidP="00F814B8">
    <w:pPr>
      <w:jc w:val="center"/>
      <w:rPr>
        <w:rFonts w:ascii="Verdana" w:hAnsi="Verdana"/>
        <w:b/>
        <w:sz w:val="60"/>
        <w:szCs w:val="60"/>
        <w:u w:val="single"/>
      </w:rPr>
    </w:pPr>
    <w:r w:rsidRPr="002F1290">
      <w:rPr>
        <w:rFonts w:ascii="Verdana" w:hAnsi="Verdana"/>
        <w:b/>
        <w:sz w:val="60"/>
        <w:szCs w:val="60"/>
        <w:u w:val="single"/>
      </w:rPr>
      <w:t>Firma e Firma, Lda</w:t>
    </w:r>
  </w:p>
  <w:p w:rsidR="00743C63" w:rsidRDefault="00743C63" w:rsidP="00F814B8">
    <w:pPr>
      <w:jc w:val="center"/>
      <w:rPr>
        <w:rFonts w:ascii="Verdana" w:hAnsi="Verdana"/>
        <w:b/>
        <w:sz w:val="30"/>
        <w:szCs w:val="30"/>
      </w:rPr>
    </w:pPr>
    <w:r w:rsidRPr="002F1290">
      <w:rPr>
        <w:rFonts w:ascii="Verdana" w:hAnsi="Verdana"/>
        <w:b/>
        <w:sz w:val="30"/>
        <w:szCs w:val="30"/>
      </w:rPr>
      <w:t>Anexo do Exercício de 201</w:t>
    </w:r>
    <w:r w:rsidR="00375F89">
      <w:rPr>
        <w:rFonts w:ascii="Verdana" w:hAnsi="Verdana"/>
        <w:b/>
        <w:sz w:val="30"/>
        <w:szCs w:val="30"/>
      </w:rPr>
      <w:t>3</w:t>
    </w:r>
  </w:p>
  <w:p w:rsidR="00375F89" w:rsidRPr="002F1290" w:rsidRDefault="00375F89" w:rsidP="00F814B8">
    <w:pPr>
      <w:jc w:val="center"/>
      <w:rPr>
        <w:rFonts w:ascii="Verdana" w:hAnsi="Verdana"/>
        <w:b/>
        <w:sz w:val="30"/>
        <w:szCs w:val="30"/>
      </w:rPr>
    </w:pPr>
  </w:p>
  <w:p w:rsidR="00743C63" w:rsidRDefault="00743C63" w:rsidP="00F814B8">
    <w:pPr>
      <w:jc w:val="center"/>
      <w:rPr>
        <w:rFonts w:ascii="Verdana" w:hAnsi="Verdana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CA5" w:rsidRDefault="00A16CA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8706E"/>
    <w:multiLevelType w:val="multilevel"/>
    <w:tmpl w:val="09BCE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1762F72"/>
    <w:multiLevelType w:val="multilevel"/>
    <w:tmpl w:val="E2C43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8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F15"/>
    <w:rsid w:val="00036BBE"/>
    <w:rsid w:val="000F2AB1"/>
    <w:rsid w:val="00111889"/>
    <w:rsid w:val="00126A44"/>
    <w:rsid w:val="001338F2"/>
    <w:rsid w:val="001C72E1"/>
    <w:rsid w:val="00286F15"/>
    <w:rsid w:val="002A3D18"/>
    <w:rsid w:val="002F1290"/>
    <w:rsid w:val="002F751B"/>
    <w:rsid w:val="003316EC"/>
    <w:rsid w:val="00336A86"/>
    <w:rsid w:val="00375F89"/>
    <w:rsid w:val="003B4622"/>
    <w:rsid w:val="003F1545"/>
    <w:rsid w:val="00427E42"/>
    <w:rsid w:val="00430582"/>
    <w:rsid w:val="00457E97"/>
    <w:rsid w:val="004764F0"/>
    <w:rsid w:val="004A4C55"/>
    <w:rsid w:val="004D4B5A"/>
    <w:rsid w:val="0050556B"/>
    <w:rsid w:val="00566991"/>
    <w:rsid w:val="0064412B"/>
    <w:rsid w:val="006B2610"/>
    <w:rsid w:val="006B2BB6"/>
    <w:rsid w:val="006B6571"/>
    <w:rsid w:val="007053F8"/>
    <w:rsid w:val="00743C63"/>
    <w:rsid w:val="00823FE5"/>
    <w:rsid w:val="008570A0"/>
    <w:rsid w:val="008E7F11"/>
    <w:rsid w:val="00976E39"/>
    <w:rsid w:val="00A16CA5"/>
    <w:rsid w:val="00A66468"/>
    <w:rsid w:val="00A73462"/>
    <w:rsid w:val="00A96331"/>
    <w:rsid w:val="00AF0C6E"/>
    <w:rsid w:val="00BE0DEA"/>
    <w:rsid w:val="00C16D99"/>
    <w:rsid w:val="00C45AA8"/>
    <w:rsid w:val="00C5649D"/>
    <w:rsid w:val="00C94AC5"/>
    <w:rsid w:val="00C9653F"/>
    <w:rsid w:val="00D03501"/>
    <w:rsid w:val="00D24B89"/>
    <w:rsid w:val="00D450B7"/>
    <w:rsid w:val="00D72C99"/>
    <w:rsid w:val="00DA7C4F"/>
    <w:rsid w:val="00E15A99"/>
    <w:rsid w:val="00E451EC"/>
    <w:rsid w:val="00E8290E"/>
    <w:rsid w:val="00EA3B01"/>
    <w:rsid w:val="00F20E2D"/>
    <w:rsid w:val="00F20E80"/>
    <w:rsid w:val="00F814B8"/>
    <w:rsid w:val="00FE19BA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Verdana"/>
      <w:kern w:val="1"/>
      <w:sz w:val="24"/>
      <w:szCs w:val="24"/>
      <w:lang w:eastAsia="hi-IN" w:bidi="hi-I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Smbolosdenumerao">
    <w:name w:val="Símbolos de numeração"/>
  </w:style>
  <w:style w:type="character" w:styleId="Forte">
    <w:name w:val="Strong"/>
    <w:qFormat/>
    <w:rPr>
      <w:b/>
      <w:bCs/>
    </w:rPr>
  </w:style>
  <w:style w:type="character" w:customStyle="1" w:styleId="CabealhoCarcter">
    <w:name w:val="Cabeçalho Carácter"/>
    <w:rPr>
      <w:rFonts w:eastAsia="SimSun" w:cs="Tahoma"/>
      <w:kern w:val="1"/>
      <w:sz w:val="24"/>
      <w:szCs w:val="21"/>
      <w:lang w:eastAsia="hi-IN" w:bidi="hi-IN"/>
    </w:rPr>
  </w:style>
  <w:style w:type="character" w:customStyle="1" w:styleId="RodapCarcter">
    <w:name w:val="Rodapé Carácter"/>
    <w:rPr>
      <w:rFonts w:eastAsia="SimSun" w:cs="Tahoma"/>
      <w:kern w:val="1"/>
      <w:sz w:val="24"/>
      <w:szCs w:val="21"/>
      <w:lang w:eastAsia="hi-IN" w:bidi="hi-IN"/>
    </w:rPr>
  </w:style>
  <w:style w:type="character" w:customStyle="1" w:styleId="TextodebaloCarcter">
    <w:name w:val="Texto de balão Carácter"/>
    <w:rPr>
      <w:rFonts w:ascii="Tahoma" w:eastAsia="SimSun" w:hAnsi="Tahoma" w:cs="Tahoma"/>
      <w:kern w:val="1"/>
      <w:sz w:val="16"/>
      <w:szCs w:val="14"/>
      <w:lang w:eastAsia="hi-IN" w:bidi="hi-IN"/>
    </w:rPr>
  </w:style>
  <w:style w:type="paragraph" w:customStyle="1" w:styleId="Cabealho2">
    <w:name w:val="Cabeçalho2"/>
    <w:basedOn w:val="Normal"/>
    <w:next w:val="Corpodetexto"/>
    <w:pPr>
      <w:keepNext/>
      <w:spacing w:before="240" w:after="120"/>
    </w:pPr>
    <w:rPr>
      <w:rFonts w:ascii="Arial" w:eastAsia="Microsoft YaHei" w:hAnsi="Arial" w:cs="Tahoma"/>
      <w:sz w:val="28"/>
      <w:szCs w:val="28"/>
    </w:rPr>
  </w:style>
  <w:style w:type="paragraph" w:styleId="Corpodetexto">
    <w:name w:val="Body Text"/>
    <w:basedOn w:val="Normal"/>
    <w:link w:val="CorpodetextoCarcter"/>
    <w:semiHidden/>
    <w:pPr>
      <w:spacing w:after="120"/>
    </w:pPr>
  </w:style>
  <w:style w:type="paragraph" w:styleId="Lista">
    <w:name w:val="List"/>
    <w:basedOn w:val="Corpodetexto"/>
    <w:semiHidden/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pPr>
      <w:suppressLineNumbers/>
    </w:pPr>
  </w:style>
  <w:style w:type="paragraph" w:customStyle="1" w:styleId="Cabealho1">
    <w:name w:val="Cabeçalh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semiHidden/>
    <w:pPr>
      <w:tabs>
        <w:tab w:val="center" w:pos="4252"/>
        <w:tab w:val="right" w:pos="8504"/>
      </w:tabs>
    </w:pPr>
    <w:rPr>
      <w:rFonts w:cs="Tahoma"/>
      <w:szCs w:val="21"/>
    </w:rPr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</w:pPr>
    <w:rPr>
      <w:rFonts w:cs="Tahoma"/>
      <w:szCs w:val="21"/>
    </w:rPr>
  </w:style>
  <w:style w:type="paragraph" w:styleId="Textodebalo">
    <w:name w:val="Balloon Text"/>
    <w:basedOn w:val="Normal"/>
    <w:rPr>
      <w:rFonts w:ascii="Tahoma" w:hAnsi="Tahoma" w:cs="Tahoma"/>
      <w:sz w:val="16"/>
      <w:szCs w:val="14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Cabealhodatabela">
    <w:name w:val="Cabeçalho da tabela"/>
    <w:basedOn w:val="Contedodatabela"/>
    <w:pPr>
      <w:jc w:val="center"/>
    </w:pPr>
    <w:rPr>
      <w:b/>
      <w:bCs/>
    </w:rPr>
  </w:style>
  <w:style w:type="table" w:styleId="Tabelacomgrelha">
    <w:name w:val="Table Grid"/>
    <w:basedOn w:val="Tabelanormal"/>
    <w:uiPriority w:val="59"/>
    <w:rsid w:val="0042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2AB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PT" w:bidi="ar-SA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F20E80"/>
    <w:pPr>
      <w:widowControl/>
      <w:suppressAutoHyphens w:val="0"/>
      <w:spacing w:line="276" w:lineRule="auto"/>
      <w:jc w:val="both"/>
    </w:pPr>
    <w:rPr>
      <w:rFonts w:ascii="Verdana" w:eastAsia="Times New Roman" w:hAnsi="Verdana" w:cs="Times New Roman"/>
      <w:bCs/>
      <w:color w:val="000000"/>
      <w:kern w:val="0"/>
      <w:sz w:val="18"/>
      <w:szCs w:val="18"/>
      <w:lang w:eastAsia="pt-PT" w:bidi="ar-SA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F20E80"/>
    <w:rPr>
      <w:rFonts w:ascii="Verdana" w:hAnsi="Verdana"/>
      <w:bCs/>
      <w:color w:val="000000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1C72E1"/>
    <w:pPr>
      <w:widowControl/>
      <w:suppressAutoHyphens w:val="0"/>
      <w:spacing w:line="276" w:lineRule="auto"/>
      <w:jc w:val="both"/>
    </w:pPr>
    <w:rPr>
      <w:rFonts w:ascii="Verdana" w:eastAsia="Times New Roman" w:hAnsi="Verdana" w:cs="Times New Roman"/>
      <w:b/>
      <w:bCs/>
      <w:color w:val="000000"/>
      <w:kern w:val="0"/>
      <w:sz w:val="18"/>
      <w:szCs w:val="18"/>
      <w:lang w:eastAsia="pt-PT" w:bidi="ar-SA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1C72E1"/>
    <w:rPr>
      <w:rFonts w:ascii="Verdana" w:hAnsi="Verdana"/>
      <w:b/>
      <w:bCs/>
      <w:color w:val="000000"/>
      <w:sz w:val="18"/>
      <w:szCs w:val="18"/>
    </w:rPr>
  </w:style>
  <w:style w:type="character" w:customStyle="1" w:styleId="CorpodetextoCarcter">
    <w:name w:val="Corpo de texto Carácter"/>
    <w:basedOn w:val="Tipodeletrapredefinidodopargrafo"/>
    <w:link w:val="Corpodetexto"/>
    <w:semiHidden/>
    <w:rsid w:val="004D4B5A"/>
    <w:rPr>
      <w:rFonts w:eastAsia="SimSun" w:cs="Verdana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Verdana"/>
      <w:kern w:val="1"/>
      <w:sz w:val="24"/>
      <w:szCs w:val="24"/>
      <w:lang w:eastAsia="hi-IN" w:bidi="hi-I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Smbolosdenumerao">
    <w:name w:val="Símbolos de numeração"/>
  </w:style>
  <w:style w:type="character" w:styleId="Forte">
    <w:name w:val="Strong"/>
    <w:qFormat/>
    <w:rPr>
      <w:b/>
      <w:bCs/>
    </w:rPr>
  </w:style>
  <w:style w:type="character" w:customStyle="1" w:styleId="CabealhoCarcter">
    <w:name w:val="Cabeçalho Carácter"/>
    <w:rPr>
      <w:rFonts w:eastAsia="SimSun" w:cs="Tahoma"/>
      <w:kern w:val="1"/>
      <w:sz w:val="24"/>
      <w:szCs w:val="21"/>
      <w:lang w:eastAsia="hi-IN" w:bidi="hi-IN"/>
    </w:rPr>
  </w:style>
  <w:style w:type="character" w:customStyle="1" w:styleId="RodapCarcter">
    <w:name w:val="Rodapé Carácter"/>
    <w:rPr>
      <w:rFonts w:eastAsia="SimSun" w:cs="Tahoma"/>
      <w:kern w:val="1"/>
      <w:sz w:val="24"/>
      <w:szCs w:val="21"/>
      <w:lang w:eastAsia="hi-IN" w:bidi="hi-IN"/>
    </w:rPr>
  </w:style>
  <w:style w:type="character" w:customStyle="1" w:styleId="TextodebaloCarcter">
    <w:name w:val="Texto de balão Carácter"/>
    <w:rPr>
      <w:rFonts w:ascii="Tahoma" w:eastAsia="SimSun" w:hAnsi="Tahoma" w:cs="Tahoma"/>
      <w:kern w:val="1"/>
      <w:sz w:val="16"/>
      <w:szCs w:val="14"/>
      <w:lang w:eastAsia="hi-IN" w:bidi="hi-IN"/>
    </w:rPr>
  </w:style>
  <w:style w:type="paragraph" w:customStyle="1" w:styleId="Cabealho2">
    <w:name w:val="Cabeçalho2"/>
    <w:basedOn w:val="Normal"/>
    <w:next w:val="Corpodetexto"/>
    <w:pPr>
      <w:keepNext/>
      <w:spacing w:before="240" w:after="120"/>
    </w:pPr>
    <w:rPr>
      <w:rFonts w:ascii="Arial" w:eastAsia="Microsoft YaHei" w:hAnsi="Arial" w:cs="Tahoma"/>
      <w:sz w:val="28"/>
      <w:szCs w:val="28"/>
    </w:rPr>
  </w:style>
  <w:style w:type="paragraph" w:styleId="Corpodetexto">
    <w:name w:val="Body Text"/>
    <w:basedOn w:val="Normal"/>
    <w:link w:val="CorpodetextoCarcter"/>
    <w:semiHidden/>
    <w:pPr>
      <w:spacing w:after="120"/>
    </w:pPr>
  </w:style>
  <w:style w:type="paragraph" w:styleId="Lista">
    <w:name w:val="List"/>
    <w:basedOn w:val="Corpodetexto"/>
    <w:semiHidden/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pPr>
      <w:suppressLineNumbers/>
    </w:pPr>
  </w:style>
  <w:style w:type="paragraph" w:customStyle="1" w:styleId="Cabealho1">
    <w:name w:val="Cabeçalh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semiHidden/>
    <w:pPr>
      <w:tabs>
        <w:tab w:val="center" w:pos="4252"/>
        <w:tab w:val="right" w:pos="8504"/>
      </w:tabs>
    </w:pPr>
    <w:rPr>
      <w:rFonts w:cs="Tahoma"/>
      <w:szCs w:val="21"/>
    </w:rPr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</w:pPr>
    <w:rPr>
      <w:rFonts w:cs="Tahoma"/>
      <w:szCs w:val="21"/>
    </w:rPr>
  </w:style>
  <w:style w:type="paragraph" w:styleId="Textodebalo">
    <w:name w:val="Balloon Text"/>
    <w:basedOn w:val="Normal"/>
    <w:rPr>
      <w:rFonts w:ascii="Tahoma" w:hAnsi="Tahoma" w:cs="Tahoma"/>
      <w:sz w:val="16"/>
      <w:szCs w:val="14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Cabealhodatabela">
    <w:name w:val="Cabeçalho da tabela"/>
    <w:basedOn w:val="Contedodatabela"/>
    <w:pPr>
      <w:jc w:val="center"/>
    </w:pPr>
    <w:rPr>
      <w:b/>
      <w:bCs/>
    </w:rPr>
  </w:style>
  <w:style w:type="table" w:styleId="Tabelacomgrelha">
    <w:name w:val="Table Grid"/>
    <w:basedOn w:val="Tabelanormal"/>
    <w:uiPriority w:val="59"/>
    <w:rsid w:val="0042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2AB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PT" w:bidi="ar-SA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F20E80"/>
    <w:pPr>
      <w:widowControl/>
      <w:suppressAutoHyphens w:val="0"/>
      <w:spacing w:line="276" w:lineRule="auto"/>
      <w:jc w:val="both"/>
    </w:pPr>
    <w:rPr>
      <w:rFonts w:ascii="Verdana" w:eastAsia="Times New Roman" w:hAnsi="Verdana" w:cs="Times New Roman"/>
      <w:bCs/>
      <w:color w:val="000000"/>
      <w:kern w:val="0"/>
      <w:sz w:val="18"/>
      <w:szCs w:val="18"/>
      <w:lang w:eastAsia="pt-PT" w:bidi="ar-SA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F20E80"/>
    <w:rPr>
      <w:rFonts w:ascii="Verdana" w:hAnsi="Verdana"/>
      <w:bCs/>
      <w:color w:val="000000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1C72E1"/>
    <w:pPr>
      <w:widowControl/>
      <w:suppressAutoHyphens w:val="0"/>
      <w:spacing w:line="276" w:lineRule="auto"/>
      <w:jc w:val="both"/>
    </w:pPr>
    <w:rPr>
      <w:rFonts w:ascii="Verdana" w:eastAsia="Times New Roman" w:hAnsi="Verdana" w:cs="Times New Roman"/>
      <w:b/>
      <w:bCs/>
      <w:color w:val="000000"/>
      <w:kern w:val="0"/>
      <w:sz w:val="18"/>
      <w:szCs w:val="18"/>
      <w:lang w:eastAsia="pt-PT" w:bidi="ar-SA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1C72E1"/>
    <w:rPr>
      <w:rFonts w:ascii="Verdana" w:hAnsi="Verdana"/>
      <w:b/>
      <w:bCs/>
      <w:color w:val="000000"/>
      <w:sz w:val="18"/>
      <w:szCs w:val="18"/>
    </w:rPr>
  </w:style>
  <w:style w:type="character" w:customStyle="1" w:styleId="CorpodetextoCarcter">
    <w:name w:val="Corpo de texto Carácter"/>
    <w:basedOn w:val="Tipodeletrapredefinidodopargrafo"/>
    <w:link w:val="Corpodetexto"/>
    <w:semiHidden/>
    <w:rsid w:val="004D4B5A"/>
    <w:rPr>
      <w:rFonts w:eastAsia="SimSun" w:cs="Verdana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3.xls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package" Target="embeddings/Microsoft_Excel_Worksheet7.xlsx"/><Relationship Id="rId34" Type="http://schemas.openxmlformats.org/officeDocument/2006/relationships/image" Target="media/image14.emf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Excel_Worksheet5.xlsx"/><Relationship Id="rId25" Type="http://schemas.openxmlformats.org/officeDocument/2006/relationships/package" Target="embeddings/Microsoft_Excel_Worksheet9.xlsx"/><Relationship Id="rId33" Type="http://schemas.openxmlformats.org/officeDocument/2006/relationships/package" Target="embeddings/Microsoft_Excel_Worksheet13.xlsx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Microsoft_Excel_Worksheet11.xlsx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2.xls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package" Target="embeddings/Microsoft_Excel_Worksheet15.xlsx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4.xlsx"/><Relationship Id="rId23" Type="http://schemas.openxmlformats.org/officeDocument/2006/relationships/package" Target="embeddings/Microsoft_Excel_Worksheet8.xlsx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10" Type="http://schemas.openxmlformats.org/officeDocument/2006/relationships/image" Target="media/image2.emf"/><Relationship Id="rId19" Type="http://schemas.openxmlformats.org/officeDocument/2006/relationships/package" Target="embeddings/Microsoft_Excel_Worksheet6.xlsx"/><Relationship Id="rId31" Type="http://schemas.openxmlformats.org/officeDocument/2006/relationships/package" Target="embeddings/Microsoft_Excel_Worksheet12.xlsx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1.xls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Excel_Worksheet10.xlsx"/><Relationship Id="rId30" Type="http://schemas.openxmlformats.org/officeDocument/2006/relationships/image" Target="media/image12.emf"/><Relationship Id="rId35" Type="http://schemas.openxmlformats.org/officeDocument/2006/relationships/package" Target="embeddings/Microsoft_Excel_Worksheet14.xlsx"/><Relationship Id="rId4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1198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2014-06-17T22:55:00Z</dcterms:created>
  <dcterms:modified xsi:type="dcterms:W3CDTF">2014-06-18T11:36:00Z</dcterms:modified>
</cp:coreProperties>
</file>