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90" w:rsidRPr="00EC46A9" w:rsidRDefault="00A96B90" w:rsidP="00A96B90">
      <w:pPr>
        <w:pStyle w:val="Default"/>
        <w:jc w:val="both"/>
        <w:rPr>
          <w:rFonts w:ascii="Baskerville Old Face" w:hAnsi="Baskerville Old Face"/>
          <w:sz w:val="36"/>
          <w:szCs w:val="36"/>
        </w:rPr>
      </w:pPr>
    </w:p>
    <w:p w:rsidR="00EC46A9" w:rsidRPr="00EC46A9" w:rsidRDefault="00A96B90" w:rsidP="00A96B90">
      <w:pPr>
        <w:pStyle w:val="Default"/>
        <w:numPr>
          <w:ilvl w:val="0"/>
          <w:numId w:val="1"/>
        </w:numPr>
        <w:jc w:val="both"/>
        <w:rPr>
          <w:rFonts w:ascii="Baskerville Old Face" w:hAnsi="Baskerville Old Face"/>
          <w:color w:val="auto"/>
          <w:sz w:val="36"/>
          <w:szCs w:val="36"/>
        </w:rPr>
      </w:pPr>
      <w:r w:rsidRPr="00EC46A9">
        <w:rPr>
          <w:rFonts w:ascii="Baskerville Old Face" w:hAnsi="Baskerville Old Face"/>
          <w:sz w:val="36"/>
          <w:szCs w:val="36"/>
        </w:rPr>
        <w:t>Documentos comprovativos em como a entidade se encontram regularmente cons</w:t>
      </w:r>
      <w:r w:rsidR="00EC46A9">
        <w:rPr>
          <w:rFonts w:ascii="Baskerville Old Face" w:hAnsi="Baskerville Old Face"/>
          <w:sz w:val="36"/>
          <w:szCs w:val="36"/>
        </w:rPr>
        <w:t>tituída e devidamente registada:</w:t>
      </w:r>
    </w:p>
    <w:p w:rsidR="00EC46A9" w:rsidRPr="00EC46A9" w:rsidRDefault="00EC46A9" w:rsidP="00EC46A9">
      <w:pPr>
        <w:pStyle w:val="Default"/>
        <w:numPr>
          <w:ilvl w:val="0"/>
          <w:numId w:val="2"/>
        </w:numPr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sz w:val="36"/>
          <w:szCs w:val="36"/>
        </w:rPr>
        <w:t>D</w:t>
      </w:r>
      <w:r w:rsidR="00A96B90" w:rsidRPr="00EC46A9">
        <w:rPr>
          <w:rFonts w:ascii="Baskerville Old Face" w:hAnsi="Baskerville Old Face"/>
          <w:sz w:val="36"/>
          <w:szCs w:val="36"/>
        </w:rPr>
        <w:t>ocumento de constituição da entidade,</w:t>
      </w:r>
    </w:p>
    <w:p w:rsidR="00EC46A9" w:rsidRDefault="00A96B90" w:rsidP="00EC46A9">
      <w:pPr>
        <w:pStyle w:val="Default"/>
        <w:numPr>
          <w:ilvl w:val="0"/>
          <w:numId w:val="2"/>
        </w:numPr>
        <w:jc w:val="both"/>
        <w:rPr>
          <w:rFonts w:ascii="Baskerville Old Face" w:hAnsi="Baskerville Old Face"/>
          <w:color w:val="auto"/>
          <w:sz w:val="36"/>
          <w:szCs w:val="36"/>
        </w:rPr>
      </w:pPr>
      <w:r w:rsidRPr="00EC46A9">
        <w:rPr>
          <w:rFonts w:ascii="Baskerville Old Face" w:hAnsi="Baskerville Old Face"/>
          <w:sz w:val="36"/>
          <w:szCs w:val="36"/>
        </w:rPr>
        <w:t xml:space="preserve"> Diário da República com publicação do </w:t>
      </w:r>
      <w:r w:rsidRPr="00EC46A9">
        <w:rPr>
          <w:rFonts w:ascii="Baskerville Old Face" w:hAnsi="Baskerville Old Face"/>
          <w:color w:val="auto"/>
          <w:sz w:val="36"/>
          <w:szCs w:val="36"/>
        </w:rPr>
        <w:t>contrato de sociedade ou certidão de escritura do contrato e registo de todas as alteraç</w:t>
      </w:r>
      <w:r w:rsidR="00EC46A9">
        <w:rPr>
          <w:rFonts w:ascii="Baskerville Old Face" w:hAnsi="Baskerville Old Face"/>
          <w:color w:val="auto"/>
          <w:sz w:val="36"/>
          <w:szCs w:val="36"/>
        </w:rPr>
        <w:t>ões ocorridas no pacto social,</w:t>
      </w:r>
    </w:p>
    <w:p w:rsidR="00EC46A9" w:rsidRDefault="00EC46A9" w:rsidP="00EC46A9">
      <w:pPr>
        <w:pStyle w:val="Default"/>
        <w:numPr>
          <w:ilvl w:val="0"/>
          <w:numId w:val="2"/>
        </w:numPr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t>C</w:t>
      </w:r>
      <w:r w:rsidR="00A96B90" w:rsidRPr="00EC46A9">
        <w:rPr>
          <w:rFonts w:ascii="Baskerville Old Face" w:hAnsi="Baskerville Old Face"/>
          <w:color w:val="auto"/>
          <w:sz w:val="36"/>
          <w:szCs w:val="36"/>
        </w:rPr>
        <w:t>artão de pessoa coletiva ou da dec</w:t>
      </w:r>
      <w:r>
        <w:rPr>
          <w:rFonts w:ascii="Baskerville Old Face" w:hAnsi="Baskerville Old Face"/>
          <w:color w:val="auto"/>
          <w:sz w:val="36"/>
          <w:szCs w:val="36"/>
        </w:rPr>
        <w:t>laração de início de atividade,</w:t>
      </w:r>
    </w:p>
    <w:p w:rsidR="00A96B90" w:rsidRPr="00EC46A9" w:rsidRDefault="00EC46A9" w:rsidP="00EC46A9">
      <w:pPr>
        <w:pStyle w:val="Default"/>
        <w:numPr>
          <w:ilvl w:val="0"/>
          <w:numId w:val="2"/>
        </w:numPr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t>C</w:t>
      </w:r>
      <w:r w:rsidR="00A96B90" w:rsidRPr="00EC46A9">
        <w:rPr>
          <w:rFonts w:ascii="Baskerville Old Face" w:hAnsi="Baskerville Old Face"/>
          <w:color w:val="auto"/>
          <w:sz w:val="36"/>
          <w:szCs w:val="36"/>
        </w:rPr>
        <w:t>artão do NIF e do documento de identificação</w:t>
      </w:r>
      <w:r w:rsidR="00622B99">
        <w:rPr>
          <w:rFonts w:ascii="Baskerville Old Face" w:hAnsi="Baskerville Old Face"/>
          <w:color w:val="auto"/>
          <w:sz w:val="36"/>
          <w:szCs w:val="36"/>
        </w:rPr>
        <w:t xml:space="preserve"> no caso de pessoas singulares.</w:t>
      </w:r>
    </w:p>
    <w:p w:rsidR="00A96B90" w:rsidRPr="00EC46A9" w:rsidRDefault="00A96B90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A96B90" w:rsidRPr="0017678C" w:rsidRDefault="00EC46A9" w:rsidP="0017678C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t>Cópias da candidatura</w:t>
      </w:r>
      <w:r w:rsidR="0017678C">
        <w:rPr>
          <w:rFonts w:ascii="Baskerville Old Face" w:hAnsi="Baskerville Old Face"/>
          <w:color w:val="auto"/>
          <w:sz w:val="36"/>
          <w:szCs w:val="36"/>
        </w:rPr>
        <w:t xml:space="preserve"> e dos documentos comprovativos dos demais requisitos.</w:t>
      </w: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17678C" w:rsidRDefault="0017678C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17678C" w:rsidRDefault="0017678C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17678C" w:rsidRDefault="0017678C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17678C" w:rsidRDefault="0017678C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17678C" w:rsidRPr="00EC46A9" w:rsidRDefault="0017678C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EC46A9">
      <w:pPr>
        <w:rPr>
          <w:rFonts w:ascii="Baskerville Old Face" w:hAnsi="Baskerville Old Face"/>
          <w:sz w:val="36"/>
          <w:szCs w:val="36"/>
        </w:rPr>
      </w:pPr>
    </w:p>
    <w:p w:rsidR="00A96B90" w:rsidRPr="00EC46A9" w:rsidRDefault="00A96B90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A96B90" w:rsidRPr="00EC46A9" w:rsidRDefault="0017678C" w:rsidP="00A96B90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>Toda a documentação e correspondência com o IEFP inerentes ao financiamento aprovado, desde o registo da oferta de emprego, nomeadamente a notificação pelo IEFP da respetiva decisão de aprovação e correspondente termo de aceitação.</w:t>
      </w: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A96B90" w:rsidRDefault="00A96B90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17678C" w:rsidP="0017678C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t>Exemplar do contrato de trabalho ou do acordo entre as partes no caso de conversão do contrato de trabalho a termo certo em sem termo.</w:t>
      </w:r>
      <w:r w:rsidRPr="00EC46A9">
        <w:rPr>
          <w:rFonts w:ascii="Baskerville Old Face" w:hAnsi="Baskerville Old Face"/>
          <w:sz w:val="36"/>
          <w:szCs w:val="36"/>
        </w:rPr>
        <w:t xml:space="preserve"> </w:t>
      </w: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EC46A9">
      <w:pPr>
        <w:rPr>
          <w:rFonts w:ascii="Baskerville Old Face" w:hAnsi="Baskerville Old Face"/>
          <w:sz w:val="36"/>
          <w:szCs w:val="36"/>
        </w:rPr>
      </w:pPr>
    </w:p>
    <w:p w:rsidR="00EC46A9" w:rsidRPr="00EC46A9" w:rsidRDefault="00EC46A9" w:rsidP="00A96B90">
      <w:pPr>
        <w:pStyle w:val="PargrafodaLista"/>
        <w:rPr>
          <w:rFonts w:ascii="Baskerville Old Face" w:hAnsi="Baskerville Old Face"/>
          <w:sz w:val="36"/>
          <w:szCs w:val="36"/>
        </w:rPr>
      </w:pPr>
    </w:p>
    <w:p w:rsidR="00A96B90" w:rsidRDefault="00A96B90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Pr="00EC46A9" w:rsidRDefault="0017678C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A96B90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>Identificação do trabalhador, certificado de habilitação, informação sobre o respetivo processo de seleção.</w:t>
      </w: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17678C" w:rsidP="0017678C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 xml:space="preserve">Identificação do tutor e respetivo curriculum </w:t>
      </w:r>
      <w:proofErr w:type="gramStart"/>
      <w:r>
        <w:rPr>
          <w:rFonts w:ascii="Baskerville Old Face" w:hAnsi="Baskerville Old Face"/>
          <w:color w:val="auto"/>
          <w:sz w:val="36"/>
          <w:szCs w:val="36"/>
        </w:rPr>
        <w:t>vitae</w:t>
      </w:r>
      <w:proofErr w:type="gramEnd"/>
      <w:r>
        <w:rPr>
          <w:rFonts w:ascii="Baskerville Old Face" w:hAnsi="Baskerville Old Face"/>
          <w:color w:val="auto"/>
          <w:sz w:val="36"/>
          <w:szCs w:val="36"/>
        </w:rPr>
        <w:t xml:space="preserve"> ou da entidade formadora e comprovativo da respetiva certificação (não aplicável à conversão de contrato).</w:t>
      </w:r>
      <w:r w:rsidRPr="00EC46A9">
        <w:rPr>
          <w:rFonts w:ascii="Baskerville Old Face" w:hAnsi="Baskerville Old Face"/>
          <w:color w:val="auto"/>
          <w:sz w:val="36"/>
          <w:szCs w:val="36"/>
        </w:rPr>
        <w:t xml:space="preserve"> </w:t>
      </w: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P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EC46A9" w:rsidRDefault="00EC46A9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Pr="00EC46A9" w:rsidRDefault="0017678C" w:rsidP="00EC46A9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A96B90" w:rsidRPr="00EC46A9" w:rsidRDefault="00A96B90" w:rsidP="00A96B90">
      <w:pPr>
        <w:pStyle w:val="Default"/>
        <w:spacing w:after="89"/>
        <w:ind w:left="810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A96B90" w:rsidRDefault="0017678C" w:rsidP="00A96B90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>Relatório de formação elaborado pelo tutor ou certificado de formação emitido pela entidade formadora certificada (não aplicável à conversão de contratos).</w:t>
      </w:r>
      <w:r w:rsidR="00A96B90" w:rsidRPr="00EC46A9">
        <w:rPr>
          <w:rFonts w:ascii="Baskerville Old Face" w:hAnsi="Baskerville Old Face"/>
          <w:color w:val="auto"/>
          <w:sz w:val="36"/>
          <w:szCs w:val="36"/>
        </w:rPr>
        <w:t xml:space="preserve"> </w:t>
      </w: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A96B90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>Originais de toda a publicidade e informação produzida.</w:t>
      </w: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Default="0017678C" w:rsidP="0017678C">
      <w:pPr>
        <w:pStyle w:val="Default"/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</w:p>
    <w:p w:rsidR="0017678C" w:rsidRPr="00EC46A9" w:rsidRDefault="0017678C" w:rsidP="00A96B90">
      <w:pPr>
        <w:pStyle w:val="Default"/>
        <w:numPr>
          <w:ilvl w:val="0"/>
          <w:numId w:val="1"/>
        </w:numPr>
        <w:spacing w:after="89"/>
        <w:jc w:val="both"/>
        <w:rPr>
          <w:rFonts w:ascii="Baskerville Old Face" w:hAnsi="Baskerville Old Face"/>
          <w:color w:val="auto"/>
          <w:sz w:val="36"/>
          <w:szCs w:val="36"/>
        </w:rPr>
      </w:pPr>
      <w:r>
        <w:rPr>
          <w:rFonts w:ascii="Baskerville Old Face" w:hAnsi="Baskerville Old Face"/>
          <w:color w:val="auto"/>
          <w:sz w:val="36"/>
          <w:szCs w:val="36"/>
        </w:rPr>
        <w:lastRenderedPageBreak/>
        <w:t>Outra informação considerada relevante.</w:t>
      </w:r>
    </w:p>
    <w:p w:rsidR="00A96B90" w:rsidRPr="00EC46A9" w:rsidRDefault="00A96B90" w:rsidP="00A96B90">
      <w:pPr>
        <w:jc w:val="both"/>
        <w:rPr>
          <w:rFonts w:ascii="Baskerville Old Face" w:hAnsi="Baskerville Old Face"/>
          <w:sz w:val="36"/>
          <w:szCs w:val="36"/>
        </w:rPr>
      </w:pPr>
    </w:p>
    <w:p w:rsidR="005265D0" w:rsidRDefault="005265D0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D20DBF">
      <w:pPr>
        <w:jc w:val="center"/>
        <w:rPr>
          <w:sz w:val="24"/>
          <w:szCs w:val="24"/>
        </w:rPr>
      </w:pPr>
      <w:r w:rsidRPr="00D20DBF">
        <w:rPr>
          <w:noProof/>
          <w:sz w:val="24"/>
          <w:szCs w:val="24"/>
        </w:rPr>
        <w:lastRenderedPageBreak/>
        <w:drawing>
          <wp:inline distT="0" distB="0" distL="0" distR="0">
            <wp:extent cx="2676525" cy="1724025"/>
            <wp:effectExtent l="0" t="0" r="0" b="0"/>
            <wp:docPr id="6" name="Objecto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444009" cy="937629"/>
                      <a:chOff x="0" y="0"/>
                      <a:chExt cx="2444009" cy="937629"/>
                    </a:xfrm>
                  </a:grpSpPr>
                  <a:sp>
                    <a:nvSpPr>
                      <a:cNvPr id="78" name="Rectângulo 77"/>
                      <a:cNvSpPr/>
                    </a:nvSpPr>
                    <a:spPr>
                      <a:xfrm>
                        <a:off x="0" y="0"/>
                        <a:ext cx="2444009" cy="9376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lIns="91440" tIns="45720" rIns="91440" bIns="45720">
                          <a:noAutofit/>
                        </a:bodyPr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pt-PT" sz="5000" b="1" cap="none" spc="0">
                              <a:ln w="17780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</a:ln>
                              <a:gradFill rotWithShape="1">
                                <a:gsLst>
                                  <a:gs pos="0">
                                    <a:srgbClr val="000000">
                                      <a:tint val="92000"/>
                                      <a:shade val="100000"/>
                                      <a:satMod val="150000"/>
                                    </a:srgbClr>
                                  </a:gs>
                                  <a:gs pos="49000">
                                    <a:srgbClr val="000000">
                                      <a:tint val="89000"/>
                                      <a:shade val="90000"/>
                                      <a:satMod val="150000"/>
                                    </a:srgbClr>
                                  </a:gs>
                                  <a:gs pos="50000">
                                    <a:srgbClr val="000000">
                                      <a:tint val="100000"/>
                                      <a:shade val="75000"/>
                                      <a:satMod val="150000"/>
                                    </a:srgbClr>
                                  </a:gs>
                                  <a:gs pos="95000">
                                    <a:srgbClr val="000000">
                                      <a:shade val="47000"/>
                                      <a:satMod val="150000"/>
                                    </a:srgbClr>
                                  </a:gs>
                                  <a:gs pos="100000">
                                    <a:srgbClr val="000000">
                                      <a:shade val="39000"/>
                                      <a:satMod val="150000"/>
                                    </a:srgbClr>
                                  </a:gs>
                                </a:gsLst>
                                <a:lin ang="5400000"/>
                              </a:gradFill>
                              <a:effectLst>
                                <a:outerShdw blurRad="50800" algn="tl" rotWithShape="0">
                                  <a:srgbClr val="000000"/>
                                </a:outerShdw>
                              </a:effectLst>
                            </a:rPr>
                            <a:t>BRINGA</a:t>
                          </a:r>
                          <a:r>
                            <a:rPr lang="pt-PT" sz="5400" b="1" cap="none" spc="0">
                              <a:ln w="17780" cmpd="sng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</a:ln>
                              <a:gradFill rotWithShape="1">
                                <a:gsLst>
                                  <a:gs pos="0">
                                    <a:srgbClr val="000000">
                                      <a:tint val="92000"/>
                                      <a:shade val="100000"/>
                                      <a:satMod val="150000"/>
                                    </a:srgbClr>
                                  </a:gs>
                                  <a:gs pos="49000">
                                    <a:srgbClr val="000000">
                                      <a:tint val="89000"/>
                                      <a:shade val="90000"/>
                                      <a:satMod val="150000"/>
                                    </a:srgbClr>
                                  </a:gs>
                                  <a:gs pos="50000">
                                    <a:srgbClr val="000000">
                                      <a:tint val="100000"/>
                                      <a:shade val="75000"/>
                                      <a:satMod val="150000"/>
                                    </a:srgbClr>
                                  </a:gs>
                                  <a:gs pos="95000">
                                    <a:srgbClr val="000000">
                                      <a:shade val="47000"/>
                                      <a:satMod val="150000"/>
                                    </a:srgbClr>
                                  </a:gs>
                                  <a:gs pos="100000">
                                    <a:srgbClr val="000000">
                                      <a:shade val="39000"/>
                                      <a:satMod val="150000"/>
                                    </a:srgbClr>
                                  </a:gs>
                                </a:gsLst>
                                <a:lin ang="5400000"/>
                              </a:gradFill>
                              <a:effectLst>
                                <a:outerShdw blurRad="50800" algn="tl" rotWithShape="0">
                                  <a:srgbClr val="000000"/>
                                </a:outerShdw>
                              </a:effectLst>
                            </a:rPr>
                            <a:t>JOKE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Default="00D20DBF" w:rsidP="00A96B90">
      <w:pPr>
        <w:jc w:val="both"/>
        <w:rPr>
          <w:sz w:val="24"/>
          <w:szCs w:val="24"/>
        </w:rPr>
      </w:pPr>
    </w:p>
    <w:p w:rsidR="00D20DBF" w:rsidRPr="00D20DBF" w:rsidRDefault="00D20DBF" w:rsidP="00A96B90">
      <w:pPr>
        <w:jc w:val="both"/>
        <w:rPr>
          <w:sz w:val="40"/>
          <w:szCs w:val="40"/>
        </w:rPr>
      </w:pPr>
    </w:p>
    <w:p w:rsidR="00D20DBF" w:rsidRPr="00D20DBF" w:rsidRDefault="00D20DBF" w:rsidP="00D20DBF">
      <w:pPr>
        <w:jc w:val="center"/>
        <w:rPr>
          <w:sz w:val="40"/>
          <w:szCs w:val="40"/>
        </w:rPr>
      </w:pPr>
      <w:r w:rsidRPr="00D20DBF">
        <w:rPr>
          <w:sz w:val="40"/>
          <w:szCs w:val="40"/>
        </w:rPr>
        <w:t>NIPC: 510 150 985</w:t>
      </w:r>
    </w:p>
    <w:p w:rsidR="00D20DBF" w:rsidRDefault="00D20DBF" w:rsidP="00D20DBF">
      <w:pPr>
        <w:jc w:val="center"/>
        <w:rPr>
          <w:sz w:val="24"/>
          <w:szCs w:val="24"/>
        </w:rPr>
      </w:pPr>
    </w:p>
    <w:p w:rsidR="00D20DBF" w:rsidRDefault="00D20DBF" w:rsidP="00D20DBF">
      <w:pPr>
        <w:jc w:val="center"/>
        <w:rPr>
          <w:sz w:val="24"/>
          <w:szCs w:val="24"/>
        </w:rPr>
      </w:pPr>
      <w:r w:rsidRPr="00D20DBF">
        <w:rPr>
          <w:noProof/>
          <w:sz w:val="24"/>
          <w:szCs w:val="24"/>
        </w:rPr>
        <w:drawing>
          <wp:inline distT="0" distB="0" distL="0" distR="0">
            <wp:extent cx="5848350" cy="4495800"/>
            <wp:effectExtent l="0" t="0" r="0" b="0"/>
            <wp:docPr id="5" name="Objecto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70899" cy="937629"/>
                      <a:chOff x="0" y="0"/>
                      <a:chExt cx="2870899" cy="937629"/>
                    </a:xfrm>
                  </a:grpSpPr>
                  <a:sp>
                    <a:nvSpPr>
                      <a:cNvPr id="80" name="Rectângulo 79"/>
                      <a:cNvSpPr/>
                    </a:nvSpPr>
                    <a:spPr>
                      <a:xfrm>
                        <a:off x="0" y="0"/>
                        <a:ext cx="2870899" cy="9376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lIns="91440" tIns="45720" rIns="91440" bIns="45720"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lvl1pPr marL="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pt-PT" sz="4000" b="1" cap="all" spc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iefp</a:t>
                          </a:r>
                        </a:p>
                        <a:p>
                          <a:pPr algn="ctr"/>
                          <a:r>
                            <a:rPr lang="pt-PT" sz="1200" b="1" cap="all" spc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Instituto</a:t>
                          </a:r>
                          <a:r>
                            <a:rPr lang="pt-PT" sz="1200" b="1" cap="all" spc="0" baseline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 de emprego </a:t>
                          </a:r>
                        </a:p>
                        <a:p>
                          <a:pPr algn="ctr"/>
                          <a:r>
                            <a:rPr lang="pt-PT" sz="1200" b="1" cap="all" spc="0" baseline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e</a:t>
                          </a:r>
                        </a:p>
                        <a:p>
                          <a:pPr algn="ctr"/>
                          <a:r>
                            <a:rPr lang="pt-PT" sz="1200" b="1" cap="all" spc="0" baseline="0">
                              <a:ln w="0"/>
                              <a:gradFill flip="none">
                                <a:gsLst>
                                  <a:gs pos="0">
                                    <a:schemeClr val="accent1">
                                      <a:tint val="75000"/>
                                      <a:shade val="75000"/>
                                      <a:satMod val="170000"/>
                                    </a:schemeClr>
                                  </a:gs>
                                  <a:gs pos="49000">
                                    <a:schemeClr val="accent1">
                                      <a:tint val="88000"/>
                                      <a:shade val="65000"/>
                                      <a:satMod val="172000"/>
                                    </a:schemeClr>
                                  </a:gs>
                                  <a:gs pos="50000">
                                    <a:schemeClr val="accent1">
                                      <a:shade val="65000"/>
                                      <a:satMod val="130000"/>
                                    </a:schemeClr>
                                  </a:gs>
                                  <a:gs pos="92000">
                                    <a:schemeClr val="accent1">
                                      <a:shade val="50000"/>
                                      <a:satMod val="120000"/>
                                    </a:schemeClr>
                                  </a:gs>
                                  <a:gs pos="100000">
                                    <a:schemeClr val="accent1">
                                      <a:shade val="48000"/>
                                      <a:satMod val="12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reflection blurRad="12700" stA="50000" endPos="50000" dist="5000" dir="5400000" sy="-100000" rotWithShape="0"/>
                              </a:effectLst>
                            </a:rPr>
                            <a:t> formação profissional</a:t>
                          </a:r>
                          <a:endParaRPr lang="pt-PT" sz="1200" b="1" cap="all" spc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  <a:p>
                          <a:pPr algn="ctr"/>
                          <a:endParaRPr lang="pt-PT" sz="2000" b="1" cap="all" spc="0">
                            <a:ln w="0"/>
                            <a:gradFill flip="none">
                              <a:gsLst>
                                <a:gs pos="0">
                                  <a:schemeClr val="accent1">
                                    <a:tint val="75000"/>
                                    <a:shade val="75000"/>
                                    <a:satMod val="170000"/>
                                  </a:schemeClr>
                                </a:gs>
                                <a:gs pos="49000">
                                  <a:schemeClr val="accent1">
                                    <a:tint val="88000"/>
                                    <a:shade val="65000"/>
                                    <a:satMod val="172000"/>
                                  </a:schemeClr>
                                </a:gs>
                                <a:gs pos="50000">
                                  <a:schemeClr val="accent1">
                                    <a:shade val="65000"/>
                                    <a:satMod val="130000"/>
                                  </a:schemeClr>
                                </a:gs>
                                <a:gs pos="92000">
                                  <a:schemeClr val="accent1">
                                    <a:shade val="50000"/>
                                    <a:satMod val="120000"/>
                                  </a:schemeClr>
                                </a:gs>
                                <a:gs pos="100000">
                                  <a:schemeClr val="accent1">
                                    <a:shade val="48000"/>
                                    <a:satMod val="12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reflection blurRad="12700" stA="50000" endPos="50000" dist="5000" dir="5400000" sy="-100000" rotWithShape="0"/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17678C" w:rsidRPr="0017678C" w:rsidRDefault="0017678C" w:rsidP="00D20DBF">
      <w:pPr>
        <w:jc w:val="center"/>
        <w:rPr>
          <w:b/>
          <w:color w:val="548DD4" w:themeColor="text2" w:themeTint="99"/>
          <w:sz w:val="56"/>
          <w:szCs w:val="56"/>
        </w:rPr>
      </w:pPr>
      <w:r w:rsidRPr="0017678C">
        <w:rPr>
          <w:b/>
          <w:color w:val="548DD4" w:themeColor="text2" w:themeTint="99"/>
          <w:sz w:val="56"/>
          <w:szCs w:val="56"/>
        </w:rPr>
        <w:t>MEDIDA ESTIMULO EMPREGO</w:t>
      </w:r>
    </w:p>
    <w:sectPr w:rsidR="0017678C" w:rsidRPr="0017678C" w:rsidSect="005265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D0FD6"/>
    <w:multiLevelType w:val="hybridMultilevel"/>
    <w:tmpl w:val="1726790E"/>
    <w:lvl w:ilvl="0" w:tplc="1D828EEA">
      <w:start w:val="5"/>
      <w:numFmt w:val="bullet"/>
      <w:lvlText w:val=""/>
      <w:lvlJc w:val="left"/>
      <w:pPr>
        <w:ind w:left="1170" w:hanging="360"/>
      </w:pPr>
      <w:rPr>
        <w:rFonts w:ascii="Wingdings" w:eastAsiaTheme="minorHAnsi" w:hAnsi="Wingdings" w:cs="Times New Roman" w:hint="default"/>
        <w:color w:val="000000"/>
      </w:rPr>
    </w:lvl>
    <w:lvl w:ilvl="1" w:tplc="0816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7D7B23DE"/>
    <w:multiLevelType w:val="hybridMultilevel"/>
    <w:tmpl w:val="9E023DE6"/>
    <w:lvl w:ilvl="0" w:tplc="8B3296B8">
      <w:start w:val="1"/>
      <w:numFmt w:val="lowerLetter"/>
      <w:lvlText w:val="%1)"/>
      <w:lvlJc w:val="left"/>
      <w:pPr>
        <w:ind w:left="810" w:hanging="450"/>
      </w:pPr>
      <w:rPr>
        <w:rFonts w:hint="default"/>
        <w:b/>
        <w:color w:val="00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characterSpacingControl w:val="doNotCompress"/>
  <w:compat/>
  <w:rsids>
    <w:rsidRoot w:val="00CF4097"/>
    <w:rsid w:val="0017678C"/>
    <w:rsid w:val="002356C4"/>
    <w:rsid w:val="004A47A6"/>
    <w:rsid w:val="005265D0"/>
    <w:rsid w:val="00550910"/>
    <w:rsid w:val="00622B99"/>
    <w:rsid w:val="00735862"/>
    <w:rsid w:val="00A96B90"/>
    <w:rsid w:val="00CF4097"/>
    <w:rsid w:val="00D20DBF"/>
    <w:rsid w:val="00E020F0"/>
    <w:rsid w:val="00EC46A9"/>
    <w:rsid w:val="00FF1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B90"/>
    <w:pPr>
      <w:spacing w:after="0" w:line="240" w:lineRule="auto"/>
    </w:pPr>
    <w:rPr>
      <w:rFonts w:ascii="Calibri" w:hAnsi="Calibri" w:cs="Times New Roman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A96B90"/>
    <w:pPr>
      <w:autoSpaceDE w:val="0"/>
      <w:autoSpaceDN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6B90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D20DBF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0DBF"/>
    <w:rPr>
      <w:rFonts w:ascii="Tahoma" w:hAnsi="Tahoma" w:cs="Tahoma"/>
      <w:sz w:val="16"/>
      <w:szCs w:val="1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Guess</dc:creator>
  <cp:lastModifiedBy>Guess</cp:lastModifiedBy>
  <cp:revision>3</cp:revision>
  <cp:lastPrinted>2015-04-17T14:42:00Z</cp:lastPrinted>
  <dcterms:created xsi:type="dcterms:W3CDTF">2015-02-26T16:24:00Z</dcterms:created>
  <dcterms:modified xsi:type="dcterms:W3CDTF">2015-04-17T14:49:00Z</dcterms:modified>
</cp:coreProperties>
</file>